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BAE7C" w14:textId="77777777" w:rsidR="00327C02" w:rsidRPr="00B36D03" w:rsidRDefault="00327C02" w:rsidP="00327C02">
      <w:pPr>
        <w:pStyle w:val="Beschriftung"/>
        <w:keepNext/>
        <w:spacing w:after="0" w:line="360" w:lineRule="auto"/>
        <w:ind w:left="1134" w:hanging="1134"/>
        <w:rPr>
          <w:sz w:val="24"/>
          <w:szCs w:val="24"/>
          <w:lang w:val="en-US"/>
        </w:rPr>
      </w:pPr>
      <w:bookmarkStart w:id="0" w:name="_GoBack"/>
      <w:bookmarkEnd w:id="0"/>
      <w:r>
        <w:rPr>
          <w:sz w:val="24"/>
          <w:szCs w:val="24"/>
          <w:lang w:val="en-US"/>
        </w:rPr>
        <w:t>Table S5</w:t>
      </w:r>
      <w:r w:rsidRPr="00B36D03">
        <w:rPr>
          <w:sz w:val="24"/>
          <w:szCs w:val="24"/>
          <w:lang w:val="en-US"/>
        </w:rPr>
        <w:t xml:space="preserve">: </w:t>
      </w:r>
      <w:r w:rsidRPr="00B36D03">
        <w:rPr>
          <w:sz w:val="24"/>
          <w:szCs w:val="24"/>
          <w:lang w:val="en-US"/>
        </w:rPr>
        <w:tab/>
      </w:r>
      <w:r>
        <w:rPr>
          <w:sz w:val="24"/>
          <w:szCs w:val="24"/>
          <w:lang w:val="en-US"/>
        </w:rPr>
        <w:t xml:space="preserve">Explanations on the data used </w:t>
      </w:r>
      <w:r w:rsidRPr="00B36D03">
        <w:rPr>
          <w:sz w:val="24"/>
          <w:szCs w:val="24"/>
          <w:lang w:val="en-US"/>
        </w:rPr>
        <w:t xml:space="preserve">for </w:t>
      </w:r>
      <w:r>
        <w:rPr>
          <w:sz w:val="24"/>
          <w:szCs w:val="24"/>
          <w:lang w:val="en-US"/>
        </w:rPr>
        <w:t>calculating</w:t>
      </w:r>
      <w:r w:rsidRPr="00B36D03">
        <w:rPr>
          <w:sz w:val="24"/>
          <w:szCs w:val="24"/>
          <w:lang w:val="en-US"/>
        </w:rPr>
        <w:t xml:space="preserve"> use</w:t>
      </w:r>
      <w:r>
        <w:rPr>
          <w:sz w:val="24"/>
          <w:szCs w:val="24"/>
          <w:lang w:val="en-US"/>
        </w:rPr>
        <w:t>r costs and the costs for mitigating CO</w:t>
      </w:r>
      <w:r w:rsidRPr="00CC3994">
        <w:rPr>
          <w:sz w:val="24"/>
          <w:szCs w:val="24"/>
          <w:vertAlign w:val="subscript"/>
          <w:lang w:val="en-US"/>
        </w:rPr>
        <w:t>2</w:t>
      </w:r>
      <w:r>
        <w:rPr>
          <w:sz w:val="24"/>
          <w:szCs w:val="24"/>
          <w:lang w:val="en-US"/>
        </w:rPr>
        <w:t xml:space="preserve"> and NO</w:t>
      </w:r>
      <w:r w:rsidRPr="00765A08">
        <w:rPr>
          <w:sz w:val="24"/>
          <w:szCs w:val="24"/>
          <w:vertAlign w:val="subscript"/>
          <w:lang w:val="en-US"/>
        </w:rPr>
        <w:t>X</w:t>
      </w:r>
      <w:r>
        <w:rPr>
          <w:sz w:val="24"/>
          <w:szCs w:val="24"/>
          <w:lang w:val="en-US"/>
        </w:rPr>
        <w:t xml:space="preserve"> emissions through electric and plug-in hybrid cars in Germany (numbers in the table are identical with those in Table 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1843"/>
        <w:gridCol w:w="1843"/>
      </w:tblGrid>
      <w:tr w:rsidR="00327C02" w:rsidRPr="00196A07" w14:paraId="3769CFF9" w14:textId="77777777" w:rsidTr="000158C5">
        <w:trPr>
          <w:trHeight w:val="289"/>
        </w:trPr>
        <w:tc>
          <w:tcPr>
            <w:tcW w:w="4253" w:type="dxa"/>
            <w:shd w:val="clear" w:color="auto" w:fill="auto"/>
            <w:vAlign w:val="center"/>
            <w:hideMark/>
          </w:tcPr>
          <w:p w14:paraId="37F18DCF" w14:textId="77777777" w:rsidR="00327C02" w:rsidRPr="00196A07" w:rsidRDefault="00327C02" w:rsidP="000158C5">
            <w:pPr>
              <w:spacing w:after="0" w:line="240" w:lineRule="auto"/>
              <w:jc w:val="left"/>
              <w:rPr>
                <w:sz w:val="22"/>
                <w:lang w:val="en-US"/>
              </w:rPr>
            </w:pPr>
            <w:r w:rsidRPr="00196A07">
              <w:rPr>
                <w:sz w:val="22"/>
                <w:lang w:val="en-US"/>
              </w:rPr>
              <w:t>Parameter (Source)</w:t>
            </w:r>
          </w:p>
        </w:tc>
        <w:tc>
          <w:tcPr>
            <w:tcW w:w="992" w:type="dxa"/>
            <w:shd w:val="clear" w:color="auto" w:fill="auto"/>
            <w:vAlign w:val="center"/>
            <w:hideMark/>
          </w:tcPr>
          <w:p w14:paraId="48DA11F8" w14:textId="77777777" w:rsidR="00327C02" w:rsidRPr="00196A07" w:rsidRDefault="00327C02" w:rsidP="000158C5">
            <w:pPr>
              <w:spacing w:after="0" w:line="240" w:lineRule="auto"/>
              <w:jc w:val="left"/>
              <w:rPr>
                <w:sz w:val="22"/>
              </w:rPr>
            </w:pPr>
            <w:r>
              <w:rPr>
                <w:sz w:val="22"/>
              </w:rPr>
              <w:t>Electric cars</w:t>
            </w:r>
          </w:p>
        </w:tc>
        <w:tc>
          <w:tcPr>
            <w:tcW w:w="1843" w:type="dxa"/>
            <w:shd w:val="clear" w:color="auto" w:fill="auto"/>
            <w:vAlign w:val="center"/>
            <w:hideMark/>
          </w:tcPr>
          <w:p w14:paraId="70F033C7" w14:textId="77777777" w:rsidR="00327C02" w:rsidRPr="00196A07" w:rsidRDefault="00327C02" w:rsidP="000158C5">
            <w:pPr>
              <w:spacing w:after="0" w:line="240" w:lineRule="auto"/>
              <w:jc w:val="left"/>
              <w:rPr>
                <w:sz w:val="22"/>
              </w:rPr>
            </w:pPr>
            <w:r>
              <w:rPr>
                <w:sz w:val="22"/>
              </w:rPr>
              <w:t>Plug-in hybrid cars</w:t>
            </w:r>
          </w:p>
        </w:tc>
        <w:tc>
          <w:tcPr>
            <w:tcW w:w="1843" w:type="dxa"/>
            <w:shd w:val="clear" w:color="auto" w:fill="auto"/>
            <w:vAlign w:val="center"/>
            <w:hideMark/>
          </w:tcPr>
          <w:p w14:paraId="49FF4D95" w14:textId="77777777" w:rsidR="00327C02" w:rsidRDefault="00327C02" w:rsidP="000158C5">
            <w:pPr>
              <w:spacing w:after="0" w:line="240" w:lineRule="auto"/>
              <w:jc w:val="left"/>
              <w:rPr>
                <w:sz w:val="22"/>
              </w:rPr>
            </w:pPr>
            <w:r>
              <w:rPr>
                <w:sz w:val="22"/>
              </w:rPr>
              <w:t xml:space="preserve">Conventional </w:t>
            </w:r>
          </w:p>
          <w:p w14:paraId="6250235F" w14:textId="77777777" w:rsidR="00327C02" w:rsidRPr="00196A07" w:rsidRDefault="00327C02" w:rsidP="000158C5">
            <w:pPr>
              <w:spacing w:after="0" w:line="240" w:lineRule="auto"/>
              <w:jc w:val="left"/>
              <w:rPr>
                <w:sz w:val="22"/>
              </w:rPr>
            </w:pPr>
            <w:r>
              <w:rPr>
                <w:sz w:val="22"/>
              </w:rPr>
              <w:t>car</w:t>
            </w:r>
            <w:r w:rsidRPr="00196A07">
              <w:rPr>
                <w:sz w:val="22"/>
              </w:rPr>
              <w:t>s</w:t>
            </w:r>
          </w:p>
        </w:tc>
      </w:tr>
      <w:tr w:rsidR="00327C02" w:rsidRPr="00196A07" w14:paraId="30445D6D" w14:textId="77777777" w:rsidTr="000158C5">
        <w:trPr>
          <w:trHeight w:val="77"/>
        </w:trPr>
        <w:tc>
          <w:tcPr>
            <w:tcW w:w="4253" w:type="dxa"/>
            <w:shd w:val="clear" w:color="auto" w:fill="auto"/>
            <w:vAlign w:val="center"/>
            <w:hideMark/>
          </w:tcPr>
          <w:p w14:paraId="715C62D7" w14:textId="7FCCE525" w:rsidR="00327C02" w:rsidRPr="00B5043A" w:rsidRDefault="00327C02" w:rsidP="000158C5">
            <w:pPr>
              <w:spacing w:after="0" w:line="240" w:lineRule="auto"/>
              <w:jc w:val="left"/>
              <w:rPr>
                <w:sz w:val="22"/>
                <w:lang w:val="en-GB"/>
              </w:rPr>
            </w:pPr>
            <w:r w:rsidRPr="00B5043A">
              <w:rPr>
                <w:sz w:val="22"/>
                <w:lang w:val="en-GB"/>
              </w:rPr>
              <w:t>Lifetime [a] (BMF, 2017)</w:t>
            </w:r>
            <w:r w:rsidR="00B5043A">
              <w:rPr>
                <w:sz w:val="22"/>
                <w:lang w:val="en-GB"/>
              </w:rPr>
              <w:t xml:space="preserve">; </w:t>
            </w:r>
            <w:r w:rsidR="00B5043A" w:rsidRPr="003C1324">
              <w:rPr>
                <w:sz w:val="22"/>
                <w:lang w:val="en-GB"/>
              </w:rPr>
              <w:t>assumption for sensitivity analysis in parentheses</w:t>
            </w:r>
          </w:p>
        </w:tc>
        <w:tc>
          <w:tcPr>
            <w:tcW w:w="992" w:type="dxa"/>
            <w:shd w:val="clear" w:color="auto" w:fill="auto"/>
            <w:vAlign w:val="center"/>
            <w:hideMark/>
          </w:tcPr>
          <w:p w14:paraId="0048B4B7" w14:textId="77777777" w:rsidR="00327C02" w:rsidRPr="00953270" w:rsidRDefault="00327C02" w:rsidP="000158C5">
            <w:pPr>
              <w:spacing w:after="0" w:line="240" w:lineRule="auto"/>
              <w:jc w:val="left"/>
              <w:rPr>
                <w:sz w:val="22"/>
              </w:rPr>
            </w:pPr>
            <w:r w:rsidRPr="00953270">
              <w:rPr>
                <w:sz w:val="22"/>
              </w:rPr>
              <w:t>6 (11)</w:t>
            </w:r>
            <w:r w:rsidRPr="00BD75B0">
              <w:rPr>
                <w:sz w:val="22"/>
                <w:vertAlign w:val="superscript"/>
              </w:rPr>
              <w:t>h</w:t>
            </w:r>
          </w:p>
        </w:tc>
        <w:tc>
          <w:tcPr>
            <w:tcW w:w="1843" w:type="dxa"/>
            <w:shd w:val="clear" w:color="auto" w:fill="auto"/>
            <w:vAlign w:val="center"/>
            <w:hideMark/>
          </w:tcPr>
          <w:p w14:paraId="00498576" w14:textId="77777777" w:rsidR="00327C02" w:rsidRPr="00953270" w:rsidRDefault="00327C02" w:rsidP="000158C5">
            <w:pPr>
              <w:spacing w:after="0" w:line="240" w:lineRule="auto"/>
              <w:jc w:val="left"/>
              <w:rPr>
                <w:sz w:val="22"/>
              </w:rPr>
            </w:pPr>
            <w:r w:rsidRPr="00953270">
              <w:rPr>
                <w:sz w:val="22"/>
              </w:rPr>
              <w:t>6 (11)</w:t>
            </w:r>
            <w:r w:rsidRPr="00BD75B0">
              <w:rPr>
                <w:sz w:val="22"/>
                <w:vertAlign w:val="superscript"/>
              </w:rPr>
              <w:t>h</w:t>
            </w:r>
          </w:p>
        </w:tc>
        <w:tc>
          <w:tcPr>
            <w:tcW w:w="1843" w:type="dxa"/>
            <w:shd w:val="clear" w:color="auto" w:fill="auto"/>
            <w:vAlign w:val="center"/>
            <w:hideMark/>
          </w:tcPr>
          <w:p w14:paraId="1F919D18" w14:textId="77777777" w:rsidR="00327C02" w:rsidRPr="00953270" w:rsidRDefault="00327C02" w:rsidP="000158C5">
            <w:pPr>
              <w:spacing w:after="0" w:line="240" w:lineRule="auto"/>
              <w:jc w:val="left"/>
              <w:rPr>
                <w:sz w:val="22"/>
              </w:rPr>
            </w:pPr>
            <w:r w:rsidRPr="00953270">
              <w:rPr>
                <w:sz w:val="22"/>
              </w:rPr>
              <w:t>6 (11)</w:t>
            </w:r>
            <w:r w:rsidRPr="00BD75B0">
              <w:rPr>
                <w:sz w:val="22"/>
                <w:vertAlign w:val="superscript"/>
              </w:rPr>
              <w:t>h</w:t>
            </w:r>
          </w:p>
        </w:tc>
      </w:tr>
      <w:tr w:rsidR="00327C02" w:rsidRPr="00196A07" w14:paraId="3AF0FC8D" w14:textId="77777777" w:rsidTr="000158C5">
        <w:trPr>
          <w:trHeight w:val="77"/>
        </w:trPr>
        <w:tc>
          <w:tcPr>
            <w:tcW w:w="4253" w:type="dxa"/>
            <w:shd w:val="clear" w:color="auto" w:fill="auto"/>
            <w:vAlign w:val="center"/>
            <w:hideMark/>
          </w:tcPr>
          <w:p w14:paraId="49C0E9E6" w14:textId="77777777" w:rsidR="00327C02" w:rsidRPr="00196A07" w:rsidRDefault="00327C02" w:rsidP="000158C5">
            <w:pPr>
              <w:spacing w:after="0" w:line="240" w:lineRule="auto"/>
              <w:jc w:val="left"/>
              <w:rPr>
                <w:sz w:val="22"/>
              </w:rPr>
            </w:pPr>
            <w:r w:rsidRPr="00196A07">
              <w:rPr>
                <w:sz w:val="22"/>
              </w:rPr>
              <w:t>Yearly mileage [km] (KBA, 2015)</w:t>
            </w:r>
          </w:p>
        </w:tc>
        <w:tc>
          <w:tcPr>
            <w:tcW w:w="992" w:type="dxa"/>
            <w:shd w:val="clear" w:color="auto" w:fill="auto"/>
            <w:vAlign w:val="center"/>
            <w:hideMark/>
          </w:tcPr>
          <w:p w14:paraId="08DA0B74" w14:textId="77777777" w:rsidR="00327C02" w:rsidRPr="00196A07" w:rsidRDefault="00327C02" w:rsidP="000158C5">
            <w:pPr>
              <w:spacing w:after="0" w:line="240" w:lineRule="auto"/>
              <w:jc w:val="left"/>
              <w:rPr>
                <w:sz w:val="22"/>
              </w:rPr>
            </w:pPr>
            <w:r w:rsidRPr="00196A07">
              <w:rPr>
                <w:sz w:val="22"/>
              </w:rPr>
              <w:t>14,259</w:t>
            </w:r>
          </w:p>
        </w:tc>
        <w:tc>
          <w:tcPr>
            <w:tcW w:w="1843" w:type="dxa"/>
            <w:shd w:val="clear" w:color="auto" w:fill="auto"/>
            <w:vAlign w:val="center"/>
            <w:hideMark/>
          </w:tcPr>
          <w:p w14:paraId="2FF60E06" w14:textId="77777777" w:rsidR="00327C02" w:rsidRPr="00196A07" w:rsidRDefault="00327C02" w:rsidP="000158C5">
            <w:pPr>
              <w:spacing w:after="0" w:line="240" w:lineRule="auto"/>
              <w:jc w:val="left"/>
              <w:rPr>
                <w:sz w:val="22"/>
              </w:rPr>
            </w:pPr>
            <w:r w:rsidRPr="00196A07">
              <w:rPr>
                <w:sz w:val="22"/>
              </w:rPr>
              <w:t>14,259</w:t>
            </w:r>
          </w:p>
        </w:tc>
        <w:tc>
          <w:tcPr>
            <w:tcW w:w="1843" w:type="dxa"/>
            <w:shd w:val="clear" w:color="auto" w:fill="auto"/>
            <w:vAlign w:val="center"/>
            <w:hideMark/>
          </w:tcPr>
          <w:p w14:paraId="0D84CE74" w14:textId="77777777" w:rsidR="00327C02" w:rsidRPr="00196A07" w:rsidRDefault="00327C02" w:rsidP="000158C5">
            <w:pPr>
              <w:spacing w:after="0" w:line="240" w:lineRule="auto"/>
              <w:jc w:val="left"/>
              <w:rPr>
                <w:sz w:val="22"/>
              </w:rPr>
            </w:pPr>
            <w:r w:rsidRPr="00196A07">
              <w:rPr>
                <w:sz w:val="22"/>
              </w:rPr>
              <w:t>14,259</w:t>
            </w:r>
          </w:p>
        </w:tc>
      </w:tr>
      <w:tr w:rsidR="00327C02" w:rsidRPr="00196A07" w14:paraId="09192F23" w14:textId="77777777" w:rsidTr="000158C5">
        <w:trPr>
          <w:trHeight w:val="324"/>
        </w:trPr>
        <w:tc>
          <w:tcPr>
            <w:tcW w:w="4253" w:type="dxa"/>
            <w:shd w:val="clear" w:color="auto" w:fill="auto"/>
            <w:vAlign w:val="center"/>
            <w:hideMark/>
          </w:tcPr>
          <w:p w14:paraId="4A1580D8" w14:textId="77777777" w:rsidR="00327C02" w:rsidRPr="00196A07" w:rsidRDefault="00327C02" w:rsidP="000158C5">
            <w:pPr>
              <w:spacing w:after="0" w:line="240" w:lineRule="auto"/>
              <w:jc w:val="left"/>
              <w:rPr>
                <w:sz w:val="22"/>
                <w:lang w:val="en-US"/>
              </w:rPr>
            </w:pPr>
            <w:r w:rsidRPr="00196A07">
              <w:rPr>
                <w:sz w:val="22"/>
                <w:lang w:val="en-US"/>
              </w:rPr>
              <w:t>Electricity price [EUR/kWh] (BDEW, 2017)</w:t>
            </w:r>
          </w:p>
        </w:tc>
        <w:tc>
          <w:tcPr>
            <w:tcW w:w="992" w:type="dxa"/>
            <w:shd w:val="clear" w:color="auto" w:fill="auto"/>
            <w:vAlign w:val="center"/>
            <w:hideMark/>
          </w:tcPr>
          <w:p w14:paraId="35FCAD38" w14:textId="77777777" w:rsidR="00327C02" w:rsidRPr="00196A07" w:rsidRDefault="00327C02" w:rsidP="000158C5">
            <w:pPr>
              <w:spacing w:after="0" w:line="240" w:lineRule="auto"/>
              <w:jc w:val="left"/>
              <w:rPr>
                <w:sz w:val="22"/>
              </w:rPr>
            </w:pPr>
            <w:r w:rsidRPr="00196A07">
              <w:rPr>
                <w:sz w:val="22"/>
              </w:rPr>
              <w:t>0.27</w:t>
            </w:r>
            <w:r w:rsidRPr="00196A07">
              <w:rPr>
                <w:sz w:val="22"/>
                <w:vertAlign w:val="superscript"/>
                <w:lang w:val="en-US"/>
              </w:rPr>
              <w:t>a</w:t>
            </w:r>
          </w:p>
        </w:tc>
        <w:tc>
          <w:tcPr>
            <w:tcW w:w="1843" w:type="dxa"/>
            <w:shd w:val="clear" w:color="auto" w:fill="auto"/>
            <w:vAlign w:val="center"/>
            <w:hideMark/>
          </w:tcPr>
          <w:p w14:paraId="398E1383" w14:textId="77777777" w:rsidR="00327C02" w:rsidRPr="00196A07" w:rsidRDefault="00327C02" w:rsidP="000158C5">
            <w:pPr>
              <w:spacing w:after="0" w:line="240" w:lineRule="auto"/>
              <w:jc w:val="left"/>
              <w:rPr>
                <w:sz w:val="22"/>
              </w:rPr>
            </w:pPr>
            <w:r w:rsidRPr="00196A07">
              <w:rPr>
                <w:sz w:val="22"/>
              </w:rPr>
              <w:t>0.27</w:t>
            </w:r>
            <w:r w:rsidRPr="00196A07">
              <w:rPr>
                <w:sz w:val="22"/>
                <w:vertAlign w:val="superscript"/>
                <w:lang w:val="en-US"/>
              </w:rPr>
              <w:t>a</w:t>
            </w:r>
          </w:p>
        </w:tc>
        <w:tc>
          <w:tcPr>
            <w:tcW w:w="1843" w:type="dxa"/>
            <w:shd w:val="clear" w:color="auto" w:fill="auto"/>
            <w:vAlign w:val="center"/>
            <w:hideMark/>
          </w:tcPr>
          <w:p w14:paraId="1A8F5E16" w14:textId="77777777" w:rsidR="00327C02" w:rsidRPr="00196A07" w:rsidRDefault="00327C02" w:rsidP="000158C5">
            <w:pPr>
              <w:spacing w:after="0" w:line="240" w:lineRule="auto"/>
              <w:jc w:val="left"/>
              <w:rPr>
                <w:sz w:val="22"/>
              </w:rPr>
            </w:pPr>
            <w:r w:rsidRPr="00196A07">
              <w:rPr>
                <w:sz w:val="22"/>
              </w:rPr>
              <w:t>-</w:t>
            </w:r>
          </w:p>
        </w:tc>
      </w:tr>
      <w:tr w:rsidR="00327C02" w:rsidRPr="00196A07" w14:paraId="22766B55" w14:textId="77777777" w:rsidTr="000158C5">
        <w:trPr>
          <w:trHeight w:val="433"/>
        </w:trPr>
        <w:tc>
          <w:tcPr>
            <w:tcW w:w="4253" w:type="dxa"/>
            <w:shd w:val="clear" w:color="auto" w:fill="auto"/>
            <w:vAlign w:val="center"/>
            <w:hideMark/>
          </w:tcPr>
          <w:p w14:paraId="26320D96" w14:textId="77777777" w:rsidR="00327C02" w:rsidRPr="00196A07" w:rsidRDefault="00327C02" w:rsidP="000158C5">
            <w:pPr>
              <w:spacing w:after="0" w:line="240" w:lineRule="auto"/>
              <w:jc w:val="left"/>
              <w:rPr>
                <w:sz w:val="22"/>
                <w:lang w:val="it-IT"/>
              </w:rPr>
            </w:pPr>
            <w:r w:rsidRPr="00196A07">
              <w:rPr>
                <w:sz w:val="22"/>
                <w:lang w:val="it-IT"/>
              </w:rPr>
              <w:t>Fuel price [EUR</w:t>
            </w:r>
            <w:r w:rsidRPr="00196A07">
              <w:rPr>
                <w:sz w:val="22"/>
                <w:vertAlign w:val="subscript"/>
                <w:lang w:val="it-IT"/>
              </w:rPr>
              <w:t>2015</w:t>
            </w:r>
            <w:r w:rsidRPr="00196A07">
              <w:rPr>
                <w:sz w:val="22"/>
                <w:lang w:val="it-IT"/>
              </w:rPr>
              <w:t>/l] (Statista, 2017b,c)</w:t>
            </w:r>
          </w:p>
        </w:tc>
        <w:tc>
          <w:tcPr>
            <w:tcW w:w="992" w:type="dxa"/>
            <w:shd w:val="clear" w:color="auto" w:fill="auto"/>
            <w:vAlign w:val="center"/>
            <w:hideMark/>
          </w:tcPr>
          <w:p w14:paraId="693FEBFC" w14:textId="77777777" w:rsidR="00327C02" w:rsidRPr="00196A07" w:rsidRDefault="00327C02" w:rsidP="000158C5">
            <w:pPr>
              <w:spacing w:after="0" w:line="240" w:lineRule="auto"/>
              <w:jc w:val="left"/>
              <w:rPr>
                <w:sz w:val="22"/>
              </w:rPr>
            </w:pPr>
            <w:r w:rsidRPr="00196A07">
              <w:rPr>
                <w:sz w:val="22"/>
              </w:rPr>
              <w:t>-</w:t>
            </w:r>
          </w:p>
        </w:tc>
        <w:tc>
          <w:tcPr>
            <w:tcW w:w="1843" w:type="dxa"/>
            <w:shd w:val="clear" w:color="auto" w:fill="auto"/>
            <w:vAlign w:val="center"/>
            <w:hideMark/>
          </w:tcPr>
          <w:p w14:paraId="544D211A" w14:textId="77777777" w:rsidR="00327C02" w:rsidRPr="00196A07" w:rsidRDefault="00327C02" w:rsidP="000158C5">
            <w:pPr>
              <w:spacing w:after="0" w:line="240" w:lineRule="auto"/>
              <w:jc w:val="left"/>
              <w:rPr>
                <w:sz w:val="22"/>
              </w:rPr>
            </w:pPr>
            <w:r w:rsidRPr="00196A07">
              <w:rPr>
                <w:sz w:val="22"/>
              </w:rPr>
              <w:t>1.31 (diesel)</w:t>
            </w:r>
            <w:r w:rsidRPr="00196A07">
              <w:rPr>
                <w:sz w:val="22"/>
                <w:vertAlign w:val="superscript"/>
              </w:rPr>
              <w:t>f</w:t>
            </w:r>
          </w:p>
          <w:p w14:paraId="2DFBB445" w14:textId="77777777" w:rsidR="00327C02" w:rsidRPr="00196A07" w:rsidRDefault="00327C02" w:rsidP="000158C5">
            <w:pPr>
              <w:spacing w:after="0" w:line="240" w:lineRule="auto"/>
              <w:jc w:val="left"/>
              <w:rPr>
                <w:sz w:val="22"/>
              </w:rPr>
            </w:pPr>
            <w:r w:rsidRPr="00196A07">
              <w:rPr>
                <w:sz w:val="22"/>
              </w:rPr>
              <w:t>1.49 (gasoline)</w:t>
            </w:r>
            <w:r w:rsidRPr="00196A07">
              <w:rPr>
                <w:sz w:val="22"/>
                <w:vertAlign w:val="superscript"/>
              </w:rPr>
              <w:t>f</w:t>
            </w:r>
          </w:p>
        </w:tc>
        <w:tc>
          <w:tcPr>
            <w:tcW w:w="1843" w:type="dxa"/>
            <w:shd w:val="clear" w:color="auto" w:fill="auto"/>
            <w:vAlign w:val="center"/>
            <w:hideMark/>
          </w:tcPr>
          <w:p w14:paraId="2C3F7C08" w14:textId="77777777" w:rsidR="00327C02" w:rsidRPr="00196A07" w:rsidRDefault="00327C02" w:rsidP="000158C5">
            <w:pPr>
              <w:spacing w:after="0" w:line="240" w:lineRule="auto"/>
              <w:jc w:val="left"/>
              <w:rPr>
                <w:sz w:val="22"/>
              </w:rPr>
            </w:pPr>
            <w:r w:rsidRPr="00196A07">
              <w:rPr>
                <w:sz w:val="22"/>
              </w:rPr>
              <w:t>1.31 (diesel)</w:t>
            </w:r>
            <w:r w:rsidRPr="00196A07">
              <w:rPr>
                <w:sz w:val="22"/>
                <w:vertAlign w:val="superscript"/>
              </w:rPr>
              <w:t>f</w:t>
            </w:r>
          </w:p>
          <w:p w14:paraId="1A8604E4" w14:textId="77777777" w:rsidR="00327C02" w:rsidRPr="00196A07" w:rsidRDefault="00327C02" w:rsidP="000158C5">
            <w:pPr>
              <w:spacing w:after="0" w:line="240" w:lineRule="auto"/>
              <w:jc w:val="left"/>
              <w:rPr>
                <w:sz w:val="22"/>
              </w:rPr>
            </w:pPr>
            <w:r w:rsidRPr="00196A07">
              <w:rPr>
                <w:sz w:val="22"/>
              </w:rPr>
              <w:t>1.49 (gasoline)</w:t>
            </w:r>
            <w:r w:rsidRPr="00196A07">
              <w:rPr>
                <w:sz w:val="22"/>
                <w:vertAlign w:val="superscript"/>
              </w:rPr>
              <w:t>f</w:t>
            </w:r>
          </w:p>
        </w:tc>
      </w:tr>
      <w:tr w:rsidR="00327C02" w:rsidRPr="00196A07" w14:paraId="2BD92574" w14:textId="77777777" w:rsidTr="000158C5">
        <w:trPr>
          <w:trHeight w:val="449"/>
        </w:trPr>
        <w:tc>
          <w:tcPr>
            <w:tcW w:w="4253" w:type="dxa"/>
            <w:shd w:val="clear" w:color="auto" w:fill="auto"/>
            <w:vAlign w:val="center"/>
            <w:hideMark/>
          </w:tcPr>
          <w:p w14:paraId="340060D0" w14:textId="77777777" w:rsidR="00327C02" w:rsidRPr="00196A07" w:rsidRDefault="00327C02" w:rsidP="000158C5">
            <w:pPr>
              <w:spacing w:after="0" w:line="240" w:lineRule="auto"/>
              <w:jc w:val="left"/>
              <w:rPr>
                <w:sz w:val="22"/>
                <w:lang w:val="en-US"/>
              </w:rPr>
            </w:pPr>
            <w:r w:rsidRPr="00196A07">
              <w:rPr>
                <w:sz w:val="22"/>
                <w:lang w:val="en-US"/>
              </w:rPr>
              <w:t xml:space="preserve">Carbon intensity of the electricity mix </w:t>
            </w:r>
          </w:p>
          <w:p w14:paraId="0D8EE99A" w14:textId="77777777" w:rsidR="00327C02" w:rsidRPr="00196A07" w:rsidRDefault="00327C02" w:rsidP="000158C5">
            <w:pPr>
              <w:spacing w:after="0" w:line="240" w:lineRule="auto"/>
              <w:jc w:val="left"/>
              <w:rPr>
                <w:sz w:val="22"/>
                <w:lang w:val="en-US"/>
              </w:rPr>
            </w:pPr>
            <w:r w:rsidRPr="00196A07">
              <w:rPr>
                <w:sz w:val="22"/>
                <w:lang w:val="en-US"/>
              </w:rPr>
              <w:t>[g CO</w:t>
            </w:r>
            <w:r w:rsidRPr="00196A07">
              <w:rPr>
                <w:sz w:val="22"/>
                <w:vertAlign w:val="subscript"/>
                <w:lang w:val="en-US"/>
              </w:rPr>
              <w:t>2</w:t>
            </w:r>
            <w:r w:rsidRPr="00196A07">
              <w:rPr>
                <w:sz w:val="22"/>
                <w:lang w:val="en-US"/>
              </w:rPr>
              <w:t>-equivalents/kWh] (Helmers et al., 2017)</w:t>
            </w:r>
          </w:p>
        </w:tc>
        <w:tc>
          <w:tcPr>
            <w:tcW w:w="992" w:type="dxa"/>
            <w:shd w:val="clear" w:color="auto" w:fill="auto"/>
            <w:vAlign w:val="center"/>
            <w:hideMark/>
          </w:tcPr>
          <w:p w14:paraId="3EA46AD9" w14:textId="77777777" w:rsidR="00327C02" w:rsidRPr="00BD75B0" w:rsidRDefault="00327C02" w:rsidP="000158C5">
            <w:pPr>
              <w:spacing w:after="0" w:line="240" w:lineRule="auto"/>
              <w:jc w:val="left"/>
              <w:rPr>
                <w:sz w:val="22"/>
                <w:lang w:val="en-US"/>
              </w:rPr>
            </w:pPr>
            <w:r w:rsidRPr="00196A07">
              <w:rPr>
                <w:sz w:val="22"/>
                <w:lang w:val="en-US"/>
              </w:rPr>
              <w:t>707</w:t>
            </w:r>
            <w:r w:rsidRPr="00196A07">
              <w:rPr>
                <w:sz w:val="22"/>
                <w:vertAlign w:val="superscript"/>
                <w:lang w:val="en-US"/>
              </w:rPr>
              <w:t>b</w:t>
            </w:r>
          </w:p>
        </w:tc>
        <w:tc>
          <w:tcPr>
            <w:tcW w:w="1843" w:type="dxa"/>
            <w:shd w:val="clear" w:color="auto" w:fill="auto"/>
            <w:vAlign w:val="center"/>
            <w:hideMark/>
          </w:tcPr>
          <w:p w14:paraId="44A3DF9F" w14:textId="77777777" w:rsidR="00327C02" w:rsidRPr="00196A07" w:rsidRDefault="00327C02" w:rsidP="000158C5">
            <w:pPr>
              <w:spacing w:after="0" w:line="240" w:lineRule="auto"/>
              <w:jc w:val="left"/>
              <w:rPr>
                <w:sz w:val="22"/>
                <w:lang w:val="en-US"/>
              </w:rPr>
            </w:pPr>
            <w:r w:rsidRPr="00196A07">
              <w:rPr>
                <w:sz w:val="22"/>
                <w:lang w:val="en-US"/>
              </w:rPr>
              <w:t>-</w:t>
            </w:r>
          </w:p>
        </w:tc>
        <w:tc>
          <w:tcPr>
            <w:tcW w:w="1843" w:type="dxa"/>
            <w:shd w:val="clear" w:color="auto" w:fill="auto"/>
            <w:vAlign w:val="center"/>
            <w:hideMark/>
          </w:tcPr>
          <w:p w14:paraId="5DC6B9F7" w14:textId="77777777" w:rsidR="00327C02" w:rsidRPr="00196A07" w:rsidRDefault="00327C02" w:rsidP="000158C5">
            <w:pPr>
              <w:spacing w:after="0" w:line="240" w:lineRule="auto"/>
              <w:jc w:val="left"/>
              <w:rPr>
                <w:sz w:val="22"/>
                <w:lang w:val="en-US"/>
              </w:rPr>
            </w:pPr>
            <w:r w:rsidRPr="00196A07">
              <w:rPr>
                <w:sz w:val="22"/>
                <w:lang w:val="en-US"/>
              </w:rPr>
              <w:t>-</w:t>
            </w:r>
          </w:p>
        </w:tc>
      </w:tr>
      <w:tr w:rsidR="00327C02" w:rsidRPr="00196A07" w14:paraId="54DB3A97" w14:textId="77777777" w:rsidTr="000158C5">
        <w:trPr>
          <w:trHeight w:val="335"/>
        </w:trPr>
        <w:tc>
          <w:tcPr>
            <w:tcW w:w="4253" w:type="dxa"/>
            <w:shd w:val="clear" w:color="auto" w:fill="auto"/>
            <w:vAlign w:val="center"/>
          </w:tcPr>
          <w:p w14:paraId="447E9C1F" w14:textId="77777777" w:rsidR="00327C02" w:rsidRPr="00196A07" w:rsidRDefault="00327C02" w:rsidP="000158C5">
            <w:pPr>
              <w:spacing w:after="0" w:line="240" w:lineRule="auto"/>
              <w:jc w:val="left"/>
              <w:rPr>
                <w:sz w:val="22"/>
                <w:lang w:val="en-US"/>
              </w:rPr>
            </w:pPr>
            <w:r w:rsidRPr="00196A07">
              <w:rPr>
                <w:sz w:val="22"/>
                <w:lang w:val="en-US"/>
              </w:rPr>
              <w:t>Well-to-tank fuel losses [% of CO</w:t>
            </w:r>
            <w:r w:rsidRPr="00196A07">
              <w:rPr>
                <w:sz w:val="22"/>
                <w:vertAlign w:val="subscript"/>
                <w:lang w:val="en-US"/>
              </w:rPr>
              <w:t>2</w:t>
            </w:r>
            <w:r w:rsidRPr="00196A07">
              <w:rPr>
                <w:sz w:val="22"/>
                <w:lang w:val="en-US"/>
              </w:rPr>
              <w:t xml:space="preserve"> emissions at the tailpipe] (Fritsche, 2007)</w:t>
            </w:r>
          </w:p>
        </w:tc>
        <w:tc>
          <w:tcPr>
            <w:tcW w:w="992" w:type="dxa"/>
            <w:shd w:val="clear" w:color="auto" w:fill="auto"/>
            <w:vAlign w:val="center"/>
          </w:tcPr>
          <w:p w14:paraId="483827F4" w14:textId="77777777" w:rsidR="00327C02" w:rsidRPr="00196A07" w:rsidRDefault="00327C02" w:rsidP="000158C5">
            <w:pPr>
              <w:spacing w:after="0" w:line="240" w:lineRule="auto"/>
              <w:jc w:val="left"/>
              <w:rPr>
                <w:sz w:val="22"/>
                <w:lang w:val="en-US"/>
              </w:rPr>
            </w:pPr>
            <w:r w:rsidRPr="00196A07">
              <w:rPr>
                <w:sz w:val="22"/>
                <w:lang w:val="en-US"/>
              </w:rPr>
              <w:t>-</w:t>
            </w:r>
          </w:p>
        </w:tc>
        <w:tc>
          <w:tcPr>
            <w:tcW w:w="1843" w:type="dxa"/>
            <w:shd w:val="clear" w:color="auto" w:fill="auto"/>
            <w:vAlign w:val="center"/>
          </w:tcPr>
          <w:p w14:paraId="2D619B8D" w14:textId="77777777" w:rsidR="00327C02" w:rsidRPr="00196A07" w:rsidRDefault="00327C02" w:rsidP="000158C5">
            <w:pPr>
              <w:spacing w:after="0" w:line="240" w:lineRule="auto"/>
              <w:jc w:val="left"/>
              <w:rPr>
                <w:sz w:val="22"/>
                <w:lang w:val="en-US"/>
              </w:rPr>
            </w:pPr>
            <w:r w:rsidRPr="00196A07">
              <w:rPr>
                <w:sz w:val="22"/>
                <w:lang w:val="en-US"/>
              </w:rPr>
              <w:t>18</w:t>
            </w:r>
          </w:p>
        </w:tc>
        <w:tc>
          <w:tcPr>
            <w:tcW w:w="1843" w:type="dxa"/>
            <w:shd w:val="clear" w:color="auto" w:fill="auto"/>
            <w:vAlign w:val="center"/>
          </w:tcPr>
          <w:p w14:paraId="149936E2" w14:textId="77777777" w:rsidR="00327C02" w:rsidRPr="00196A07" w:rsidRDefault="00327C02" w:rsidP="000158C5">
            <w:pPr>
              <w:spacing w:after="0" w:line="240" w:lineRule="auto"/>
              <w:jc w:val="left"/>
              <w:rPr>
                <w:sz w:val="22"/>
                <w:lang w:val="en-US"/>
              </w:rPr>
            </w:pPr>
            <w:r w:rsidRPr="00196A07">
              <w:rPr>
                <w:sz w:val="22"/>
                <w:lang w:val="en-US"/>
              </w:rPr>
              <w:t>18</w:t>
            </w:r>
          </w:p>
        </w:tc>
      </w:tr>
      <w:tr w:rsidR="00327C02" w:rsidRPr="00196A07" w14:paraId="608AFC23" w14:textId="77777777" w:rsidTr="000158C5">
        <w:trPr>
          <w:trHeight w:val="1086"/>
        </w:trPr>
        <w:tc>
          <w:tcPr>
            <w:tcW w:w="4253" w:type="dxa"/>
            <w:shd w:val="clear" w:color="auto" w:fill="auto"/>
            <w:vAlign w:val="center"/>
            <w:hideMark/>
          </w:tcPr>
          <w:p w14:paraId="79639F6C" w14:textId="77777777" w:rsidR="00327C02" w:rsidRPr="00196A07" w:rsidRDefault="00327C02" w:rsidP="000158C5">
            <w:pPr>
              <w:spacing w:after="0" w:line="240" w:lineRule="auto"/>
              <w:jc w:val="left"/>
              <w:rPr>
                <w:sz w:val="22"/>
                <w:lang w:val="en-US"/>
              </w:rPr>
            </w:pPr>
            <w:r>
              <w:rPr>
                <w:sz w:val="22"/>
                <w:lang w:val="en-US"/>
              </w:rPr>
              <w:t>Correction factor for</w:t>
            </w:r>
            <w:r w:rsidRPr="00196A07">
              <w:rPr>
                <w:sz w:val="22"/>
                <w:lang w:val="en-US"/>
              </w:rPr>
              <w:t xml:space="preserve"> the difference between certified and real-world electricity and fuel consumption [% of certified value]</w:t>
            </w:r>
          </w:p>
        </w:tc>
        <w:tc>
          <w:tcPr>
            <w:tcW w:w="992" w:type="dxa"/>
            <w:shd w:val="clear" w:color="auto" w:fill="auto"/>
            <w:vAlign w:val="center"/>
            <w:hideMark/>
          </w:tcPr>
          <w:p w14:paraId="7DE7FA00" w14:textId="77777777" w:rsidR="00327C02" w:rsidRPr="00196A07" w:rsidRDefault="00327C02" w:rsidP="000158C5">
            <w:pPr>
              <w:spacing w:after="0" w:line="240" w:lineRule="auto"/>
              <w:jc w:val="left"/>
              <w:rPr>
                <w:sz w:val="22"/>
              </w:rPr>
            </w:pPr>
            <w:r w:rsidRPr="00196A07">
              <w:rPr>
                <w:sz w:val="22"/>
              </w:rPr>
              <w:t>30</w:t>
            </w:r>
            <w:r w:rsidRPr="00196A07">
              <w:rPr>
                <w:sz w:val="22"/>
                <w:vertAlign w:val="superscript"/>
              </w:rPr>
              <w:t>c</w:t>
            </w:r>
          </w:p>
        </w:tc>
        <w:tc>
          <w:tcPr>
            <w:tcW w:w="1843" w:type="dxa"/>
            <w:shd w:val="clear" w:color="auto" w:fill="auto"/>
            <w:vAlign w:val="center"/>
            <w:hideMark/>
          </w:tcPr>
          <w:p w14:paraId="476ED74C" w14:textId="77777777" w:rsidR="00327C02" w:rsidRPr="00196A07" w:rsidRDefault="00327C02" w:rsidP="000158C5">
            <w:pPr>
              <w:spacing w:after="0" w:line="240" w:lineRule="auto"/>
              <w:jc w:val="left"/>
              <w:rPr>
                <w:sz w:val="22"/>
                <w:lang w:val="en-US"/>
              </w:rPr>
            </w:pPr>
            <w:r>
              <w:rPr>
                <w:sz w:val="22"/>
                <w:lang w:val="en-US"/>
              </w:rPr>
              <w:t>218</w:t>
            </w:r>
            <w:r w:rsidRPr="00196A07">
              <w:rPr>
                <w:sz w:val="22"/>
                <w:vertAlign w:val="superscript"/>
                <w:lang w:val="en-US"/>
              </w:rPr>
              <w:t>d</w:t>
            </w:r>
          </w:p>
        </w:tc>
        <w:tc>
          <w:tcPr>
            <w:tcW w:w="1843" w:type="dxa"/>
            <w:shd w:val="clear" w:color="auto" w:fill="auto"/>
            <w:vAlign w:val="center"/>
            <w:hideMark/>
          </w:tcPr>
          <w:p w14:paraId="02465DD9" w14:textId="77777777" w:rsidR="00327C02" w:rsidRPr="00196A07" w:rsidRDefault="00327C02" w:rsidP="000158C5">
            <w:pPr>
              <w:spacing w:after="0" w:line="240" w:lineRule="auto"/>
              <w:jc w:val="left"/>
              <w:rPr>
                <w:sz w:val="22"/>
                <w:lang w:val="en-US"/>
              </w:rPr>
            </w:pPr>
            <w:proofErr w:type="spellStart"/>
            <w:r w:rsidRPr="00196A07">
              <w:rPr>
                <w:sz w:val="22"/>
              </w:rPr>
              <w:t>year-specific</w:t>
            </w:r>
            <w:proofErr w:type="spellEnd"/>
            <w:r w:rsidRPr="00196A07">
              <w:rPr>
                <w:sz w:val="22"/>
              </w:rPr>
              <w:t xml:space="preserve"> </w:t>
            </w:r>
            <w:proofErr w:type="spellStart"/>
            <w:r w:rsidRPr="00196A07">
              <w:rPr>
                <w:sz w:val="22"/>
              </w:rPr>
              <w:t>estimates</w:t>
            </w:r>
            <w:r w:rsidRPr="00196A07">
              <w:rPr>
                <w:sz w:val="22"/>
                <w:vertAlign w:val="superscript"/>
              </w:rPr>
              <w:t>e</w:t>
            </w:r>
            <w:proofErr w:type="spellEnd"/>
          </w:p>
        </w:tc>
      </w:tr>
      <w:tr w:rsidR="00327C02" w:rsidRPr="00196A07" w14:paraId="36A854D9" w14:textId="77777777" w:rsidTr="000158C5">
        <w:trPr>
          <w:trHeight w:val="114"/>
        </w:trPr>
        <w:tc>
          <w:tcPr>
            <w:tcW w:w="4253" w:type="dxa"/>
            <w:shd w:val="clear" w:color="auto" w:fill="auto"/>
            <w:vAlign w:val="center"/>
          </w:tcPr>
          <w:p w14:paraId="4EF7AE4C" w14:textId="77777777" w:rsidR="00327C02" w:rsidRPr="00196A07" w:rsidRDefault="00327C02" w:rsidP="000158C5">
            <w:pPr>
              <w:spacing w:after="0" w:line="240" w:lineRule="auto"/>
              <w:jc w:val="left"/>
              <w:rPr>
                <w:sz w:val="22"/>
                <w:lang w:val="en-US"/>
              </w:rPr>
            </w:pPr>
            <w:r w:rsidRPr="00196A07">
              <w:rPr>
                <w:sz w:val="22"/>
                <w:lang w:val="en-US"/>
              </w:rPr>
              <w:t>NO</w:t>
            </w:r>
            <w:r w:rsidRPr="00196A07">
              <w:rPr>
                <w:sz w:val="22"/>
                <w:vertAlign w:val="subscript"/>
                <w:lang w:val="en-US"/>
              </w:rPr>
              <w:t>X</w:t>
            </w:r>
            <w:r w:rsidRPr="00196A07">
              <w:rPr>
                <w:sz w:val="22"/>
                <w:lang w:val="en-US"/>
              </w:rPr>
              <w:t xml:space="preserve"> emissions of power generation  [g/kwh] (Helmers, 2010)</w:t>
            </w:r>
            <w:r w:rsidRPr="00196A07">
              <w:rPr>
                <w:sz w:val="22"/>
                <w:vertAlign w:val="superscript"/>
                <w:lang w:val="en-US"/>
              </w:rPr>
              <w:t>g</w:t>
            </w:r>
          </w:p>
        </w:tc>
        <w:tc>
          <w:tcPr>
            <w:tcW w:w="992" w:type="dxa"/>
            <w:shd w:val="clear" w:color="auto" w:fill="auto"/>
            <w:vAlign w:val="center"/>
          </w:tcPr>
          <w:p w14:paraId="0EE67374" w14:textId="77777777" w:rsidR="00327C02" w:rsidRPr="00196A07" w:rsidRDefault="00327C02" w:rsidP="000158C5">
            <w:pPr>
              <w:spacing w:after="0" w:line="240" w:lineRule="auto"/>
              <w:jc w:val="left"/>
              <w:rPr>
                <w:sz w:val="22"/>
                <w:lang w:val="en-US"/>
              </w:rPr>
            </w:pPr>
            <w:r w:rsidRPr="00196A07">
              <w:rPr>
                <w:sz w:val="22"/>
                <w:lang w:val="en-US"/>
              </w:rPr>
              <w:t>0.44</w:t>
            </w:r>
          </w:p>
        </w:tc>
        <w:tc>
          <w:tcPr>
            <w:tcW w:w="1843" w:type="dxa"/>
            <w:shd w:val="clear" w:color="auto" w:fill="auto"/>
            <w:vAlign w:val="center"/>
          </w:tcPr>
          <w:p w14:paraId="39E7D473" w14:textId="77777777" w:rsidR="00327C02" w:rsidRPr="00196A07" w:rsidRDefault="00327C02" w:rsidP="000158C5">
            <w:pPr>
              <w:spacing w:after="0" w:line="240" w:lineRule="auto"/>
              <w:jc w:val="left"/>
              <w:rPr>
                <w:sz w:val="22"/>
                <w:lang w:val="en-US"/>
              </w:rPr>
            </w:pPr>
            <w:r w:rsidRPr="00196A07">
              <w:rPr>
                <w:sz w:val="22"/>
                <w:lang w:val="en-US"/>
              </w:rPr>
              <w:t>0.44</w:t>
            </w:r>
          </w:p>
        </w:tc>
        <w:tc>
          <w:tcPr>
            <w:tcW w:w="1843" w:type="dxa"/>
            <w:shd w:val="clear" w:color="auto" w:fill="auto"/>
            <w:vAlign w:val="center"/>
          </w:tcPr>
          <w:p w14:paraId="0DCE192C" w14:textId="77777777" w:rsidR="00327C02" w:rsidRPr="00381D88" w:rsidRDefault="00327C02" w:rsidP="000158C5">
            <w:pPr>
              <w:spacing w:after="0" w:line="240" w:lineRule="auto"/>
              <w:jc w:val="left"/>
              <w:rPr>
                <w:sz w:val="22"/>
                <w:lang w:val="en-US"/>
              </w:rPr>
            </w:pPr>
            <w:r w:rsidRPr="00381D88">
              <w:rPr>
                <w:sz w:val="22"/>
                <w:lang w:val="en-US"/>
              </w:rPr>
              <w:t>-</w:t>
            </w:r>
          </w:p>
        </w:tc>
      </w:tr>
      <w:tr w:rsidR="00327C02" w:rsidRPr="00196A07" w14:paraId="4E5D67BF" w14:textId="77777777" w:rsidTr="000158C5">
        <w:trPr>
          <w:trHeight w:val="627"/>
        </w:trPr>
        <w:tc>
          <w:tcPr>
            <w:tcW w:w="4253" w:type="dxa"/>
            <w:shd w:val="clear" w:color="auto" w:fill="auto"/>
            <w:vAlign w:val="center"/>
          </w:tcPr>
          <w:p w14:paraId="72CBD495" w14:textId="77777777" w:rsidR="00327C02" w:rsidRPr="00196A07" w:rsidRDefault="00327C02" w:rsidP="000158C5">
            <w:pPr>
              <w:spacing w:after="0" w:line="240" w:lineRule="auto"/>
              <w:jc w:val="left"/>
              <w:rPr>
                <w:sz w:val="22"/>
                <w:lang w:val="en-US"/>
              </w:rPr>
            </w:pPr>
            <w:r w:rsidRPr="00196A07">
              <w:rPr>
                <w:sz w:val="22"/>
                <w:lang w:val="en-US"/>
              </w:rPr>
              <w:t>Carbon emissions of battery production [kg CO</w:t>
            </w:r>
            <w:r w:rsidRPr="00196A07">
              <w:rPr>
                <w:sz w:val="22"/>
                <w:vertAlign w:val="subscript"/>
                <w:lang w:val="en-US"/>
              </w:rPr>
              <w:t>2</w:t>
            </w:r>
            <w:r w:rsidRPr="00196A07">
              <w:rPr>
                <w:sz w:val="22"/>
                <w:lang w:val="en-US"/>
              </w:rPr>
              <w:t>-equivalents/kWh] (Moro and Helmers, 2017)</w:t>
            </w:r>
          </w:p>
        </w:tc>
        <w:tc>
          <w:tcPr>
            <w:tcW w:w="992" w:type="dxa"/>
            <w:shd w:val="clear" w:color="auto" w:fill="auto"/>
            <w:vAlign w:val="center"/>
          </w:tcPr>
          <w:p w14:paraId="10A74A79" w14:textId="77777777" w:rsidR="00327C02" w:rsidRPr="00196A07" w:rsidRDefault="00327C02" w:rsidP="000158C5">
            <w:pPr>
              <w:spacing w:after="0" w:line="240" w:lineRule="auto"/>
              <w:jc w:val="left"/>
              <w:rPr>
                <w:sz w:val="22"/>
                <w:lang w:val="en-US"/>
              </w:rPr>
            </w:pPr>
            <w:r w:rsidRPr="00196A07">
              <w:rPr>
                <w:sz w:val="22"/>
                <w:lang w:val="en-US"/>
              </w:rPr>
              <w:t>168</w:t>
            </w:r>
          </w:p>
        </w:tc>
        <w:tc>
          <w:tcPr>
            <w:tcW w:w="1843" w:type="dxa"/>
            <w:shd w:val="clear" w:color="auto" w:fill="auto"/>
            <w:vAlign w:val="center"/>
          </w:tcPr>
          <w:p w14:paraId="7CE0BE79" w14:textId="77777777" w:rsidR="00327C02" w:rsidRPr="00196A07" w:rsidRDefault="00327C02" w:rsidP="000158C5">
            <w:pPr>
              <w:spacing w:after="0" w:line="240" w:lineRule="auto"/>
              <w:jc w:val="left"/>
              <w:rPr>
                <w:sz w:val="22"/>
                <w:lang w:val="en-US"/>
              </w:rPr>
            </w:pPr>
            <w:r w:rsidRPr="00196A07">
              <w:rPr>
                <w:sz w:val="22"/>
                <w:lang w:val="en-US"/>
              </w:rPr>
              <w:t>168</w:t>
            </w:r>
          </w:p>
        </w:tc>
        <w:tc>
          <w:tcPr>
            <w:tcW w:w="1843" w:type="dxa"/>
            <w:shd w:val="clear" w:color="auto" w:fill="auto"/>
            <w:vAlign w:val="center"/>
          </w:tcPr>
          <w:p w14:paraId="54F822D7" w14:textId="77777777" w:rsidR="00327C02" w:rsidRPr="00381D88" w:rsidRDefault="00327C02" w:rsidP="000158C5">
            <w:pPr>
              <w:spacing w:after="0" w:line="240" w:lineRule="auto"/>
              <w:jc w:val="left"/>
              <w:rPr>
                <w:sz w:val="22"/>
                <w:lang w:val="en-US"/>
              </w:rPr>
            </w:pPr>
            <w:r w:rsidRPr="00381D88">
              <w:rPr>
                <w:sz w:val="22"/>
                <w:lang w:val="en-US"/>
              </w:rPr>
              <w:t>-</w:t>
            </w:r>
          </w:p>
        </w:tc>
      </w:tr>
    </w:tbl>
    <w:p w14:paraId="7061FBD3" w14:textId="77777777" w:rsidR="00327C02" w:rsidRPr="008C252C" w:rsidRDefault="00327C02" w:rsidP="00327C02">
      <w:pPr>
        <w:spacing w:after="0" w:line="240" w:lineRule="auto"/>
        <w:rPr>
          <w:bCs/>
          <w:sz w:val="20"/>
          <w:szCs w:val="20"/>
          <w:lang w:val="en-US"/>
        </w:rPr>
      </w:pPr>
      <w:proofErr w:type="spellStart"/>
      <w:r w:rsidRPr="008C252C">
        <w:rPr>
          <w:bCs/>
          <w:sz w:val="20"/>
          <w:szCs w:val="20"/>
          <w:vertAlign w:val="superscript"/>
          <w:lang w:val="en-US"/>
        </w:rPr>
        <w:t>a</w:t>
      </w:r>
      <w:r w:rsidRPr="008C252C">
        <w:rPr>
          <w:bCs/>
          <w:sz w:val="20"/>
          <w:szCs w:val="20"/>
          <w:lang w:val="en-US"/>
        </w:rPr>
        <w:t>mean</w:t>
      </w:r>
      <w:proofErr w:type="spellEnd"/>
      <w:r w:rsidRPr="008C252C">
        <w:rPr>
          <w:bCs/>
          <w:sz w:val="20"/>
          <w:szCs w:val="20"/>
          <w:lang w:val="en-US"/>
        </w:rPr>
        <w:t xml:space="preserve"> electricity price as given by BDEW (20</w:t>
      </w:r>
      <w:r>
        <w:rPr>
          <w:bCs/>
          <w:sz w:val="20"/>
          <w:szCs w:val="20"/>
          <w:lang w:val="en-US"/>
        </w:rPr>
        <w:t xml:space="preserve">17) for the period </w:t>
      </w:r>
      <w:r w:rsidRPr="008C252C">
        <w:rPr>
          <w:bCs/>
          <w:sz w:val="20"/>
          <w:szCs w:val="20"/>
          <w:lang w:val="en-US"/>
        </w:rPr>
        <w:t>between 2010 and 2016</w:t>
      </w:r>
    </w:p>
    <w:p w14:paraId="7A06CE00" w14:textId="77777777" w:rsidR="00327C02" w:rsidRDefault="00327C02" w:rsidP="00327C02">
      <w:pPr>
        <w:spacing w:after="0" w:line="240" w:lineRule="auto"/>
        <w:rPr>
          <w:sz w:val="20"/>
          <w:szCs w:val="20"/>
          <w:lang w:val="en-US"/>
        </w:rPr>
      </w:pPr>
      <w:proofErr w:type="spellStart"/>
      <w:r w:rsidRPr="008C252C">
        <w:rPr>
          <w:bCs/>
          <w:sz w:val="20"/>
          <w:szCs w:val="20"/>
          <w:vertAlign w:val="superscript"/>
          <w:lang w:val="en-US"/>
        </w:rPr>
        <w:t>b</w:t>
      </w:r>
      <w:r>
        <w:rPr>
          <w:bCs/>
          <w:sz w:val="20"/>
          <w:szCs w:val="20"/>
          <w:lang w:val="en-US"/>
        </w:rPr>
        <w:t>considering</w:t>
      </w:r>
      <w:proofErr w:type="spellEnd"/>
      <w:r>
        <w:rPr>
          <w:bCs/>
          <w:sz w:val="20"/>
          <w:szCs w:val="20"/>
          <w:lang w:val="en-US"/>
        </w:rPr>
        <w:t xml:space="preserve"> the average electricity mix in Germany, </w:t>
      </w:r>
      <w:r w:rsidRPr="008C252C">
        <w:rPr>
          <w:sz w:val="20"/>
          <w:szCs w:val="20"/>
          <w:lang w:val="en-US"/>
        </w:rPr>
        <w:t xml:space="preserve">including </w:t>
      </w:r>
      <w:r>
        <w:rPr>
          <w:sz w:val="20"/>
          <w:szCs w:val="20"/>
          <w:lang w:val="en-US"/>
        </w:rPr>
        <w:t xml:space="preserve">transmission </w:t>
      </w:r>
      <w:r w:rsidRPr="008C252C">
        <w:rPr>
          <w:sz w:val="20"/>
          <w:szCs w:val="20"/>
          <w:lang w:val="en-US"/>
        </w:rPr>
        <w:t>l</w:t>
      </w:r>
      <w:r>
        <w:rPr>
          <w:sz w:val="20"/>
          <w:szCs w:val="20"/>
          <w:lang w:val="en-US"/>
        </w:rPr>
        <w:t>osses from plant to plug and own consumption of</w:t>
      </w:r>
      <w:r w:rsidRPr="008C252C">
        <w:rPr>
          <w:sz w:val="20"/>
          <w:szCs w:val="20"/>
          <w:lang w:val="en-US"/>
        </w:rPr>
        <w:t xml:space="preserve"> power plants</w:t>
      </w:r>
    </w:p>
    <w:p w14:paraId="7219DC0B" w14:textId="77777777" w:rsidR="00327C02" w:rsidRDefault="00327C02" w:rsidP="00327C02">
      <w:pPr>
        <w:spacing w:after="0" w:line="240" w:lineRule="auto"/>
        <w:rPr>
          <w:sz w:val="20"/>
          <w:szCs w:val="20"/>
          <w:lang w:val="en-US"/>
        </w:rPr>
      </w:pPr>
      <w:proofErr w:type="spellStart"/>
      <w:r w:rsidRPr="00B072C2">
        <w:rPr>
          <w:sz w:val="20"/>
          <w:szCs w:val="20"/>
          <w:vertAlign w:val="superscript"/>
          <w:lang w:val="en-US"/>
        </w:rPr>
        <w:t>c</w:t>
      </w:r>
      <w:r>
        <w:rPr>
          <w:sz w:val="20"/>
          <w:szCs w:val="20"/>
          <w:lang w:val="en-US"/>
        </w:rPr>
        <w:t>based</w:t>
      </w:r>
      <w:proofErr w:type="spellEnd"/>
      <w:r>
        <w:rPr>
          <w:sz w:val="20"/>
          <w:szCs w:val="20"/>
          <w:lang w:val="en-US"/>
        </w:rPr>
        <w:t xml:space="preserve"> on </w:t>
      </w:r>
      <w:proofErr w:type="spellStart"/>
      <w:r>
        <w:rPr>
          <w:sz w:val="20"/>
          <w:szCs w:val="20"/>
          <w:lang w:val="en-US"/>
        </w:rPr>
        <w:t>Zerfass</w:t>
      </w:r>
      <w:proofErr w:type="spellEnd"/>
      <w:r>
        <w:rPr>
          <w:sz w:val="20"/>
          <w:szCs w:val="20"/>
          <w:lang w:val="en-US"/>
        </w:rPr>
        <w:t xml:space="preserve"> (2015)</w:t>
      </w:r>
    </w:p>
    <w:p w14:paraId="651B908C" w14:textId="77777777" w:rsidR="00327C02" w:rsidRPr="00F84B25" w:rsidRDefault="00327C02" w:rsidP="00327C02">
      <w:pPr>
        <w:spacing w:after="0" w:line="240" w:lineRule="auto"/>
        <w:rPr>
          <w:bCs/>
          <w:sz w:val="20"/>
          <w:szCs w:val="20"/>
          <w:lang w:val="en-US"/>
        </w:rPr>
      </w:pPr>
      <w:proofErr w:type="spellStart"/>
      <w:r w:rsidRPr="00F84B25">
        <w:rPr>
          <w:sz w:val="20"/>
          <w:szCs w:val="20"/>
          <w:vertAlign w:val="superscript"/>
          <w:lang w:val="en-US"/>
        </w:rPr>
        <w:t>d</w:t>
      </w:r>
      <w:r w:rsidRPr="00F84B25">
        <w:rPr>
          <w:sz w:val="20"/>
          <w:szCs w:val="20"/>
          <w:lang w:val="en-US"/>
        </w:rPr>
        <w:t>Estimate</w:t>
      </w:r>
      <w:proofErr w:type="spellEnd"/>
      <w:r w:rsidRPr="00F84B25">
        <w:rPr>
          <w:sz w:val="20"/>
          <w:szCs w:val="20"/>
          <w:lang w:val="en-US"/>
        </w:rPr>
        <w:t xml:space="preserve"> represents the weighted average deviation between certified and real-world fuel consumption as calculated by the authors based on Tietge et al. (2016) who capture 1135 plug-in hybrids of which: 133 vehicles were driven in the UK, 995 vehicles were driven in the Netherlands, and 7 vehicles were driven in Germany. Although p</w:t>
      </w:r>
      <w:r w:rsidRPr="00F84B25">
        <w:rPr>
          <w:sz w:val="20"/>
          <w:szCs w:val="20"/>
          <w:lang w:val="en-GB"/>
        </w:rPr>
        <w:t>lug-in hybrids exhibit on average a high deviation between certified and real-world fuel consumption and CO</w:t>
      </w:r>
      <w:r w:rsidRPr="00F84B25">
        <w:rPr>
          <w:sz w:val="20"/>
          <w:szCs w:val="20"/>
          <w:vertAlign w:val="subscript"/>
          <w:lang w:val="en-GB"/>
        </w:rPr>
        <w:t>2</w:t>
      </w:r>
      <w:r w:rsidRPr="00F84B25">
        <w:rPr>
          <w:sz w:val="20"/>
          <w:szCs w:val="20"/>
          <w:lang w:val="en-GB"/>
        </w:rPr>
        <w:t xml:space="preserve"> emissions, charging pattern have a tremendous impact on the actual divergence experienced by individual vehicles users. As frequent recharging can decrease the tail-pipe emissions of plug-in hybrids to zero, the estimate used for our cost analysis may represent the average use pattern but not the specific use pattern of each individual plug-in hybrid car.</w:t>
      </w:r>
    </w:p>
    <w:p w14:paraId="6D85431E" w14:textId="77777777" w:rsidR="00327C02" w:rsidRPr="00F84B25" w:rsidRDefault="00327C02" w:rsidP="00327C02">
      <w:pPr>
        <w:spacing w:after="0" w:line="240" w:lineRule="auto"/>
        <w:rPr>
          <w:bCs/>
          <w:sz w:val="20"/>
          <w:szCs w:val="20"/>
          <w:lang w:val="en-US"/>
        </w:rPr>
      </w:pPr>
      <w:proofErr w:type="spellStart"/>
      <w:r w:rsidRPr="00F84B25">
        <w:rPr>
          <w:sz w:val="20"/>
          <w:szCs w:val="20"/>
          <w:vertAlign w:val="superscript"/>
          <w:lang w:val="en-US"/>
        </w:rPr>
        <w:t>e</w:t>
      </w:r>
      <w:r w:rsidRPr="00F84B25">
        <w:rPr>
          <w:sz w:val="20"/>
          <w:szCs w:val="20"/>
          <w:lang w:val="en-US"/>
        </w:rPr>
        <w:t>The</w:t>
      </w:r>
      <w:proofErr w:type="spellEnd"/>
      <w:r w:rsidRPr="00F84B25">
        <w:rPr>
          <w:sz w:val="20"/>
          <w:szCs w:val="20"/>
          <w:lang w:val="en-US"/>
        </w:rPr>
        <w:t xml:space="preserve"> deviation between certified and actual fuel consumption of conventional cars is not constant but tends to increase over time. The year-specific estimates used here are obtained from Figure ES-1 in Tietge et al. (2016).</w:t>
      </w:r>
      <w:r w:rsidRPr="00F84B25">
        <w:rPr>
          <w:sz w:val="20"/>
          <w:szCs w:val="20"/>
          <w:lang w:val="en-GB"/>
        </w:rPr>
        <w:t xml:space="preserve"> </w:t>
      </w:r>
    </w:p>
    <w:p w14:paraId="2C6CC432" w14:textId="77777777" w:rsidR="00327C02" w:rsidRPr="00F84B25" w:rsidRDefault="00327C02" w:rsidP="00327C02">
      <w:pPr>
        <w:spacing w:after="0" w:line="240" w:lineRule="auto"/>
        <w:rPr>
          <w:bCs/>
          <w:sz w:val="20"/>
          <w:szCs w:val="20"/>
          <w:lang w:val="en-US"/>
        </w:rPr>
      </w:pPr>
      <w:proofErr w:type="spellStart"/>
      <w:r w:rsidRPr="00F84B25">
        <w:rPr>
          <w:bCs/>
          <w:sz w:val="20"/>
          <w:szCs w:val="20"/>
          <w:vertAlign w:val="superscript"/>
          <w:lang w:val="en-US"/>
        </w:rPr>
        <w:t>f</w:t>
      </w:r>
      <w:r w:rsidRPr="00F84B25">
        <w:rPr>
          <w:bCs/>
          <w:sz w:val="20"/>
          <w:szCs w:val="20"/>
          <w:lang w:val="en-US"/>
        </w:rPr>
        <w:t>mean</w:t>
      </w:r>
      <w:proofErr w:type="spellEnd"/>
      <w:r w:rsidRPr="00F84B25">
        <w:rPr>
          <w:bCs/>
          <w:sz w:val="20"/>
          <w:szCs w:val="20"/>
          <w:lang w:val="en-US"/>
        </w:rPr>
        <w:t xml:space="preserve"> diesel and gasoline price as given by Statista (2017a,b) for the period between 2010 and 2016</w:t>
      </w:r>
    </w:p>
    <w:p w14:paraId="63AF7406" w14:textId="77777777" w:rsidR="00327C02" w:rsidRDefault="00327C02" w:rsidP="00327C02">
      <w:pPr>
        <w:spacing w:after="0" w:line="240" w:lineRule="auto"/>
        <w:rPr>
          <w:bCs/>
          <w:sz w:val="20"/>
          <w:szCs w:val="20"/>
          <w:lang w:val="en-US"/>
        </w:rPr>
      </w:pPr>
      <w:proofErr w:type="spellStart"/>
      <w:r w:rsidRPr="00F84B25">
        <w:rPr>
          <w:bCs/>
          <w:sz w:val="20"/>
          <w:szCs w:val="20"/>
          <w:vertAlign w:val="superscript"/>
          <w:lang w:val="en-US"/>
        </w:rPr>
        <w:t>g</w:t>
      </w:r>
      <w:r w:rsidRPr="00F84B25">
        <w:rPr>
          <w:bCs/>
          <w:sz w:val="20"/>
          <w:szCs w:val="20"/>
          <w:lang w:val="en-US"/>
        </w:rPr>
        <w:t>the</w:t>
      </w:r>
      <w:proofErr w:type="spellEnd"/>
      <w:r w:rsidRPr="00F84B25">
        <w:rPr>
          <w:bCs/>
          <w:sz w:val="20"/>
          <w:szCs w:val="20"/>
          <w:lang w:val="en-US"/>
        </w:rPr>
        <w:t xml:space="preserve"> NO</w:t>
      </w:r>
      <w:r w:rsidRPr="00F84B25">
        <w:rPr>
          <w:bCs/>
          <w:sz w:val="20"/>
          <w:szCs w:val="20"/>
          <w:vertAlign w:val="subscript"/>
          <w:lang w:val="en-US"/>
        </w:rPr>
        <w:t>X</w:t>
      </w:r>
      <w:r w:rsidRPr="00F84B25">
        <w:rPr>
          <w:bCs/>
          <w:sz w:val="20"/>
          <w:szCs w:val="20"/>
          <w:lang w:val="en-US"/>
        </w:rPr>
        <w:t xml:space="preserve"> </w:t>
      </w:r>
      <w:r w:rsidRPr="00806230">
        <w:rPr>
          <w:bCs/>
          <w:sz w:val="20"/>
          <w:szCs w:val="20"/>
          <w:lang w:val="en-US"/>
        </w:rPr>
        <w:t>intensity of the German electricity mix has remained relatively constant in the period between 2000 and 2015 despite the deployment of renewables (UBA, 2017)</w:t>
      </w:r>
    </w:p>
    <w:p w14:paraId="5D02FD6B" w14:textId="77777777" w:rsidR="00327C02" w:rsidRDefault="00327C02" w:rsidP="00327C02">
      <w:pPr>
        <w:spacing w:after="0" w:line="240" w:lineRule="auto"/>
        <w:rPr>
          <w:bCs/>
          <w:sz w:val="20"/>
          <w:szCs w:val="20"/>
          <w:lang w:val="en-US"/>
        </w:rPr>
      </w:pPr>
      <w:proofErr w:type="spellStart"/>
      <w:r w:rsidRPr="00BD75B0">
        <w:rPr>
          <w:bCs/>
          <w:sz w:val="20"/>
          <w:szCs w:val="20"/>
          <w:vertAlign w:val="superscript"/>
          <w:lang w:val="en-US"/>
        </w:rPr>
        <w:t>h</w:t>
      </w:r>
      <w:r w:rsidRPr="00806230">
        <w:rPr>
          <w:bCs/>
          <w:sz w:val="20"/>
          <w:szCs w:val="20"/>
          <w:lang w:val="en-US"/>
        </w:rPr>
        <w:t>In</w:t>
      </w:r>
      <w:proofErr w:type="spellEnd"/>
      <w:r w:rsidRPr="00806230">
        <w:rPr>
          <w:bCs/>
          <w:sz w:val="20"/>
          <w:szCs w:val="20"/>
          <w:lang w:val="en-US"/>
        </w:rPr>
        <w:t xml:space="preserve"> a sensitivity analysis</w:t>
      </w:r>
      <w:r>
        <w:rPr>
          <w:bCs/>
          <w:sz w:val="20"/>
          <w:szCs w:val="20"/>
          <w:lang w:val="en-US"/>
        </w:rPr>
        <w:t xml:space="preserve"> (see Table S5 in the Supplementary Material)</w:t>
      </w:r>
      <w:r w:rsidRPr="00806230">
        <w:rPr>
          <w:bCs/>
          <w:sz w:val="20"/>
          <w:szCs w:val="20"/>
          <w:lang w:val="en-US"/>
        </w:rPr>
        <w:t>, we assume an extended lifetime of 11 yea</w:t>
      </w:r>
      <w:r>
        <w:rPr>
          <w:bCs/>
          <w:sz w:val="20"/>
          <w:szCs w:val="20"/>
          <w:lang w:val="en-US"/>
        </w:rPr>
        <w:t xml:space="preserve">rs (150,000 km) that is </w:t>
      </w:r>
      <w:r w:rsidRPr="00806230">
        <w:rPr>
          <w:bCs/>
          <w:sz w:val="20"/>
          <w:szCs w:val="20"/>
          <w:lang w:val="en-US"/>
        </w:rPr>
        <w:t>consistent with the lifetime mileage driven by cars in Germany (Weymar and Finkbeiner, 2016).</w:t>
      </w:r>
      <w:r>
        <w:rPr>
          <w:bCs/>
          <w:sz w:val="20"/>
          <w:szCs w:val="20"/>
          <w:lang w:val="en-US"/>
        </w:rPr>
        <w:br w:type="page"/>
      </w:r>
    </w:p>
    <w:p w14:paraId="56C0D9A5" w14:textId="77777777" w:rsidR="00327C02" w:rsidRPr="00DA2F23" w:rsidRDefault="00327C02" w:rsidP="00327C02">
      <w:pPr>
        <w:pStyle w:val="Beschriftung"/>
        <w:keepNext/>
        <w:spacing w:after="0" w:line="360" w:lineRule="auto"/>
        <w:ind w:left="1134" w:hanging="1134"/>
        <w:rPr>
          <w:sz w:val="24"/>
          <w:szCs w:val="24"/>
          <w:lang w:val="en-US"/>
        </w:rPr>
      </w:pPr>
      <w:r w:rsidRPr="00DA2F23">
        <w:rPr>
          <w:sz w:val="24"/>
          <w:szCs w:val="24"/>
          <w:lang w:val="en-US"/>
        </w:rPr>
        <w:lastRenderedPageBreak/>
        <w:t xml:space="preserve">Table </w:t>
      </w:r>
      <w:r>
        <w:rPr>
          <w:sz w:val="24"/>
          <w:szCs w:val="24"/>
          <w:lang w:val="en-US"/>
        </w:rPr>
        <w:t>S6</w:t>
      </w:r>
      <w:r w:rsidRPr="00DA2F23">
        <w:rPr>
          <w:sz w:val="24"/>
          <w:szCs w:val="24"/>
          <w:lang w:val="en-US"/>
        </w:rPr>
        <w:t>:</w:t>
      </w:r>
      <w:r w:rsidRPr="00DA2F23">
        <w:rPr>
          <w:sz w:val="24"/>
          <w:szCs w:val="24"/>
          <w:lang w:val="en-US"/>
        </w:rPr>
        <w:tab/>
      </w:r>
      <w:r>
        <w:rPr>
          <w:sz w:val="24"/>
          <w:szCs w:val="24"/>
          <w:lang w:val="en-US"/>
        </w:rPr>
        <w:t>Generic</w:t>
      </w:r>
      <w:r w:rsidRPr="00DA2F23">
        <w:rPr>
          <w:sz w:val="24"/>
          <w:szCs w:val="24"/>
          <w:lang w:val="en-US"/>
        </w:rPr>
        <w:t xml:space="preserve"> NO</w:t>
      </w:r>
      <w:r w:rsidRPr="00DA2F23">
        <w:rPr>
          <w:sz w:val="24"/>
          <w:szCs w:val="24"/>
          <w:vertAlign w:val="subscript"/>
          <w:lang w:val="en-US"/>
        </w:rPr>
        <w:t>X</w:t>
      </w:r>
      <w:r w:rsidRPr="00DA2F23">
        <w:rPr>
          <w:sz w:val="24"/>
          <w:szCs w:val="24"/>
          <w:lang w:val="en-US"/>
        </w:rPr>
        <w:t xml:space="preserve"> and </w:t>
      </w:r>
      <w:r>
        <w:rPr>
          <w:sz w:val="24"/>
          <w:szCs w:val="24"/>
          <w:lang w:val="en-US"/>
        </w:rPr>
        <w:t>particle number</w:t>
      </w:r>
      <w:r w:rsidRPr="00DA2F23">
        <w:rPr>
          <w:sz w:val="24"/>
          <w:szCs w:val="24"/>
          <w:lang w:val="en-US"/>
        </w:rPr>
        <w:t xml:space="preserve"> </w:t>
      </w:r>
      <w:r>
        <w:rPr>
          <w:sz w:val="24"/>
          <w:szCs w:val="24"/>
          <w:lang w:val="en-US"/>
        </w:rPr>
        <w:t>tailpipe emission factors</w:t>
      </w:r>
      <w:r w:rsidRPr="00DA2F23">
        <w:rPr>
          <w:sz w:val="24"/>
          <w:szCs w:val="24"/>
          <w:lang w:val="en-US"/>
        </w:rPr>
        <w:t xml:space="preserve"> of </w:t>
      </w:r>
      <w:r>
        <w:rPr>
          <w:sz w:val="24"/>
          <w:szCs w:val="24"/>
          <w:lang w:val="en-US"/>
        </w:rPr>
        <w:t>electric, plug-in hybrid, and conventional car</w:t>
      </w:r>
      <w:r w:rsidRPr="00DA2F23">
        <w:rPr>
          <w:sz w:val="24"/>
          <w:szCs w:val="24"/>
          <w:lang w:val="en-US"/>
        </w:rPr>
        <w:t>s</w:t>
      </w:r>
      <w:r>
        <w:rPr>
          <w:sz w:val="24"/>
          <w:szCs w:val="24"/>
          <w:lang w:val="en-US"/>
        </w:rPr>
        <w:t>; principal data sources: EEA (2016b), Giechaskiel et al. (2015) and Hammer et al. (2015) for NO</w:t>
      </w:r>
      <w:r w:rsidRPr="0094789E">
        <w:rPr>
          <w:sz w:val="24"/>
          <w:szCs w:val="24"/>
          <w:vertAlign w:val="subscript"/>
          <w:lang w:val="en-US"/>
        </w:rPr>
        <w:t>X</w:t>
      </w:r>
      <w:r>
        <w:rPr>
          <w:sz w:val="24"/>
          <w:szCs w:val="24"/>
          <w:lang w:val="en-US"/>
        </w:rPr>
        <w:t xml:space="preserve"> and particle number emission factors, respectively (numbers in the table are identical with those in 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3686"/>
      </w:tblGrid>
      <w:tr w:rsidR="00327C02" w:rsidRPr="00BD4D04" w14:paraId="384D52EB" w14:textId="77777777" w:rsidTr="000158C5">
        <w:tc>
          <w:tcPr>
            <w:tcW w:w="2977" w:type="dxa"/>
            <w:shd w:val="clear" w:color="auto" w:fill="auto"/>
          </w:tcPr>
          <w:p w14:paraId="3F6A7EBC" w14:textId="77777777" w:rsidR="00327C02" w:rsidRPr="00884F8E" w:rsidRDefault="00327C02" w:rsidP="000158C5">
            <w:pPr>
              <w:spacing w:after="0" w:line="240" w:lineRule="auto"/>
              <w:rPr>
                <w:szCs w:val="24"/>
                <w:lang w:val="en-US"/>
              </w:rPr>
            </w:pPr>
            <w:r w:rsidRPr="00884F8E">
              <w:rPr>
                <w:szCs w:val="24"/>
                <w:lang w:val="en-US"/>
              </w:rPr>
              <w:t>Pollutant</w:t>
            </w:r>
          </w:p>
        </w:tc>
        <w:tc>
          <w:tcPr>
            <w:tcW w:w="2268" w:type="dxa"/>
            <w:shd w:val="clear" w:color="auto" w:fill="auto"/>
          </w:tcPr>
          <w:p w14:paraId="738CCC6F" w14:textId="77777777" w:rsidR="00327C02" w:rsidRPr="00884F8E" w:rsidRDefault="00327C02" w:rsidP="000158C5">
            <w:pPr>
              <w:spacing w:after="0" w:line="240" w:lineRule="auto"/>
              <w:rPr>
                <w:szCs w:val="24"/>
                <w:lang w:val="en-US"/>
              </w:rPr>
            </w:pPr>
            <w:r w:rsidRPr="00884F8E">
              <w:rPr>
                <w:szCs w:val="24"/>
                <w:lang w:val="en-US"/>
              </w:rPr>
              <w:t>NO</w:t>
            </w:r>
            <w:r w:rsidRPr="00884F8E">
              <w:rPr>
                <w:szCs w:val="24"/>
                <w:vertAlign w:val="subscript"/>
                <w:lang w:val="en-US"/>
              </w:rPr>
              <w:t>X</w:t>
            </w:r>
            <w:r w:rsidRPr="00884F8E">
              <w:rPr>
                <w:szCs w:val="24"/>
                <w:lang w:val="en-US"/>
              </w:rPr>
              <w:t xml:space="preserve"> [mg/km]</w:t>
            </w:r>
          </w:p>
        </w:tc>
        <w:tc>
          <w:tcPr>
            <w:tcW w:w="3686" w:type="dxa"/>
            <w:shd w:val="clear" w:color="auto" w:fill="auto"/>
          </w:tcPr>
          <w:p w14:paraId="7B8BABDE" w14:textId="77777777" w:rsidR="00327C02" w:rsidRPr="00884F8E" w:rsidRDefault="00327C02" w:rsidP="000158C5">
            <w:pPr>
              <w:spacing w:after="0" w:line="240" w:lineRule="auto"/>
              <w:rPr>
                <w:szCs w:val="24"/>
                <w:lang w:val="en-US"/>
              </w:rPr>
            </w:pPr>
            <w:r>
              <w:rPr>
                <w:szCs w:val="24"/>
                <w:lang w:val="en-US"/>
              </w:rPr>
              <w:t>Particle number</w:t>
            </w:r>
            <w:r w:rsidRPr="00884F8E">
              <w:rPr>
                <w:szCs w:val="24"/>
                <w:lang w:val="en-US"/>
              </w:rPr>
              <w:t xml:space="preserve"> [#/km]</w:t>
            </w:r>
          </w:p>
        </w:tc>
      </w:tr>
      <w:tr w:rsidR="00327C02" w:rsidRPr="00BD4D04" w14:paraId="3C3DB87C" w14:textId="77777777" w:rsidTr="000158C5">
        <w:tc>
          <w:tcPr>
            <w:tcW w:w="2977" w:type="dxa"/>
            <w:shd w:val="clear" w:color="auto" w:fill="auto"/>
          </w:tcPr>
          <w:p w14:paraId="0972D12C" w14:textId="77777777" w:rsidR="00327C02" w:rsidRPr="00884F8E" w:rsidRDefault="00327C02" w:rsidP="000158C5">
            <w:pPr>
              <w:spacing w:after="0" w:line="240" w:lineRule="auto"/>
              <w:rPr>
                <w:szCs w:val="24"/>
                <w:lang w:val="en-US"/>
              </w:rPr>
            </w:pPr>
            <w:r>
              <w:rPr>
                <w:szCs w:val="24"/>
                <w:lang w:val="en-US"/>
              </w:rPr>
              <w:t>Electric car</w:t>
            </w:r>
            <w:r w:rsidRPr="00884F8E">
              <w:rPr>
                <w:szCs w:val="24"/>
                <w:lang w:val="en-US"/>
              </w:rPr>
              <w:t>s</w:t>
            </w:r>
          </w:p>
        </w:tc>
        <w:tc>
          <w:tcPr>
            <w:tcW w:w="2268" w:type="dxa"/>
            <w:shd w:val="clear" w:color="auto" w:fill="auto"/>
          </w:tcPr>
          <w:p w14:paraId="14CF499F" w14:textId="77777777" w:rsidR="00327C02" w:rsidRPr="00884F8E" w:rsidRDefault="00327C02" w:rsidP="000158C5">
            <w:pPr>
              <w:spacing w:after="0" w:line="240" w:lineRule="auto"/>
              <w:rPr>
                <w:szCs w:val="24"/>
                <w:lang w:val="en-US"/>
              </w:rPr>
            </w:pPr>
            <w:r>
              <w:rPr>
                <w:szCs w:val="24"/>
                <w:lang w:val="en-US"/>
              </w:rPr>
              <w:t>-</w:t>
            </w:r>
          </w:p>
        </w:tc>
        <w:tc>
          <w:tcPr>
            <w:tcW w:w="3686" w:type="dxa"/>
            <w:shd w:val="clear" w:color="auto" w:fill="auto"/>
          </w:tcPr>
          <w:p w14:paraId="6F481AEC" w14:textId="77777777" w:rsidR="00327C02" w:rsidRPr="00884F8E" w:rsidRDefault="00327C02" w:rsidP="000158C5">
            <w:pPr>
              <w:spacing w:after="0" w:line="240" w:lineRule="auto"/>
              <w:rPr>
                <w:szCs w:val="24"/>
                <w:lang w:val="en-US"/>
              </w:rPr>
            </w:pPr>
            <w:r>
              <w:rPr>
                <w:szCs w:val="24"/>
                <w:lang w:val="en-US"/>
              </w:rPr>
              <w:t>-</w:t>
            </w:r>
          </w:p>
        </w:tc>
      </w:tr>
      <w:tr w:rsidR="00327C02" w:rsidRPr="00BD4D04" w14:paraId="08CD4F25" w14:textId="77777777" w:rsidTr="000158C5">
        <w:tc>
          <w:tcPr>
            <w:tcW w:w="2977" w:type="dxa"/>
            <w:shd w:val="clear" w:color="auto" w:fill="auto"/>
          </w:tcPr>
          <w:p w14:paraId="26DB4457" w14:textId="77777777" w:rsidR="00327C02" w:rsidRPr="00884F8E" w:rsidRDefault="00327C02" w:rsidP="000158C5">
            <w:pPr>
              <w:spacing w:after="0" w:line="240" w:lineRule="auto"/>
              <w:rPr>
                <w:szCs w:val="24"/>
                <w:lang w:val="en-US"/>
              </w:rPr>
            </w:pPr>
            <w:r>
              <w:rPr>
                <w:szCs w:val="24"/>
                <w:lang w:val="en-US"/>
              </w:rPr>
              <w:t>Plug-in hybrid cars</w:t>
            </w:r>
            <w:r w:rsidRPr="00884F8E">
              <w:rPr>
                <w:szCs w:val="24"/>
                <w:lang w:val="en-US"/>
              </w:rPr>
              <w:t xml:space="preserve"> - Gasoline (Euro 5)</w:t>
            </w:r>
          </w:p>
        </w:tc>
        <w:tc>
          <w:tcPr>
            <w:tcW w:w="2268" w:type="dxa"/>
            <w:shd w:val="clear" w:color="auto" w:fill="auto"/>
          </w:tcPr>
          <w:p w14:paraId="44D98889" w14:textId="77777777" w:rsidR="00327C02" w:rsidRPr="00884F8E" w:rsidRDefault="00327C02" w:rsidP="000158C5">
            <w:pPr>
              <w:spacing w:after="0" w:line="240" w:lineRule="auto"/>
              <w:rPr>
                <w:szCs w:val="24"/>
                <w:lang w:val="en-US"/>
              </w:rPr>
            </w:pPr>
            <w:r w:rsidRPr="00884F8E">
              <w:rPr>
                <w:szCs w:val="24"/>
                <w:lang w:val="en-US"/>
              </w:rPr>
              <w:t>13</w:t>
            </w:r>
          </w:p>
        </w:tc>
        <w:tc>
          <w:tcPr>
            <w:tcW w:w="3686" w:type="dxa"/>
            <w:shd w:val="clear" w:color="auto" w:fill="auto"/>
          </w:tcPr>
          <w:p w14:paraId="6857BBD2" w14:textId="77777777" w:rsidR="00327C02" w:rsidRPr="00884F8E" w:rsidRDefault="00327C02" w:rsidP="000158C5">
            <w:pPr>
              <w:spacing w:after="0" w:line="240" w:lineRule="auto"/>
              <w:rPr>
                <w:szCs w:val="24"/>
                <w:lang w:val="en-US"/>
              </w:rPr>
            </w:pPr>
            <w:r>
              <w:rPr>
                <w:szCs w:val="24"/>
                <w:lang w:val="en-US"/>
              </w:rPr>
              <w:t>8</w:t>
            </w:r>
            <w:r w:rsidRPr="00C6300E">
              <w:rPr>
                <w:rFonts w:eastAsia="Times New Roman"/>
                <w:szCs w:val="24"/>
                <w:lang w:val="en-US" w:eastAsia="de-DE"/>
              </w:rPr>
              <w:t>×</w:t>
            </w:r>
            <w:r w:rsidRPr="00884F8E">
              <w:rPr>
                <w:szCs w:val="24"/>
                <w:lang w:val="en-US"/>
              </w:rPr>
              <w:t>10</w:t>
            </w:r>
            <w:r w:rsidRPr="00884F8E">
              <w:rPr>
                <w:szCs w:val="24"/>
                <w:vertAlign w:val="superscript"/>
                <w:lang w:val="en-US"/>
              </w:rPr>
              <w:t>11a</w:t>
            </w:r>
          </w:p>
        </w:tc>
      </w:tr>
      <w:tr w:rsidR="00327C02" w:rsidRPr="003F201E" w14:paraId="093813A5" w14:textId="77777777" w:rsidTr="000158C5">
        <w:tc>
          <w:tcPr>
            <w:tcW w:w="2977" w:type="dxa"/>
            <w:shd w:val="clear" w:color="auto" w:fill="auto"/>
          </w:tcPr>
          <w:p w14:paraId="4761E87A" w14:textId="77777777" w:rsidR="00327C02" w:rsidRPr="007D03C1" w:rsidRDefault="00327C02" w:rsidP="000158C5">
            <w:pPr>
              <w:spacing w:after="0" w:line="240" w:lineRule="auto"/>
              <w:rPr>
                <w:szCs w:val="24"/>
                <w:lang w:val="en-US"/>
              </w:rPr>
            </w:pPr>
            <w:r>
              <w:rPr>
                <w:szCs w:val="24"/>
                <w:lang w:val="en-US"/>
              </w:rPr>
              <w:t>Plug-in hybrid car</w:t>
            </w:r>
            <w:r w:rsidRPr="007D03C1">
              <w:rPr>
                <w:szCs w:val="24"/>
                <w:lang w:val="en-US"/>
              </w:rPr>
              <w:t>s - Gasoline (Euro 6b)</w:t>
            </w:r>
          </w:p>
        </w:tc>
        <w:tc>
          <w:tcPr>
            <w:tcW w:w="2268" w:type="dxa"/>
            <w:shd w:val="clear" w:color="auto" w:fill="auto"/>
          </w:tcPr>
          <w:p w14:paraId="12206657" w14:textId="77777777" w:rsidR="00327C02" w:rsidRPr="00884F8E" w:rsidRDefault="00327C02" w:rsidP="000158C5">
            <w:pPr>
              <w:spacing w:after="0" w:line="240" w:lineRule="auto"/>
              <w:rPr>
                <w:szCs w:val="24"/>
              </w:rPr>
            </w:pPr>
            <w:r w:rsidRPr="00884F8E">
              <w:rPr>
                <w:szCs w:val="24"/>
              </w:rPr>
              <w:t>13</w:t>
            </w:r>
          </w:p>
        </w:tc>
        <w:tc>
          <w:tcPr>
            <w:tcW w:w="3686" w:type="dxa"/>
            <w:shd w:val="clear" w:color="auto" w:fill="auto"/>
          </w:tcPr>
          <w:p w14:paraId="0002DF2B" w14:textId="77777777" w:rsidR="00327C02" w:rsidRPr="00884F8E" w:rsidRDefault="00327C02" w:rsidP="000158C5">
            <w:pPr>
              <w:spacing w:after="0" w:line="240" w:lineRule="auto"/>
              <w:rPr>
                <w:szCs w:val="24"/>
              </w:rPr>
            </w:pPr>
            <w:r>
              <w:rPr>
                <w:szCs w:val="24"/>
                <w:lang w:val="en-US"/>
              </w:rPr>
              <w:t>3</w:t>
            </w:r>
            <w:r w:rsidRPr="00C6300E">
              <w:rPr>
                <w:rFonts w:eastAsia="Times New Roman"/>
                <w:szCs w:val="24"/>
                <w:lang w:val="en-US" w:eastAsia="de-DE"/>
              </w:rPr>
              <w:t>×</w:t>
            </w:r>
            <w:r w:rsidRPr="00884F8E">
              <w:rPr>
                <w:szCs w:val="24"/>
                <w:lang w:val="en-US"/>
              </w:rPr>
              <w:t>10</w:t>
            </w:r>
            <w:r w:rsidRPr="00884F8E">
              <w:rPr>
                <w:szCs w:val="24"/>
                <w:vertAlign w:val="superscript"/>
                <w:lang w:val="en-US"/>
              </w:rPr>
              <w:t>12b</w:t>
            </w:r>
          </w:p>
        </w:tc>
      </w:tr>
      <w:tr w:rsidR="00327C02" w:rsidRPr="0076453B" w14:paraId="1CF13074" w14:textId="77777777" w:rsidTr="000158C5">
        <w:tc>
          <w:tcPr>
            <w:tcW w:w="2977" w:type="dxa"/>
            <w:shd w:val="clear" w:color="auto" w:fill="auto"/>
          </w:tcPr>
          <w:p w14:paraId="47565C10" w14:textId="77777777" w:rsidR="00327C02" w:rsidRPr="00884F8E" w:rsidRDefault="00327C02" w:rsidP="000158C5">
            <w:pPr>
              <w:spacing w:after="0" w:line="240" w:lineRule="auto"/>
              <w:rPr>
                <w:szCs w:val="24"/>
              </w:rPr>
            </w:pPr>
            <w:r w:rsidRPr="007D03C1">
              <w:rPr>
                <w:szCs w:val="24"/>
              </w:rPr>
              <w:t>Plug-in hybrid car</w:t>
            </w:r>
            <w:r w:rsidRPr="00884F8E">
              <w:rPr>
                <w:szCs w:val="24"/>
              </w:rPr>
              <w:t>s - Diesel (Euro 5)</w:t>
            </w:r>
          </w:p>
        </w:tc>
        <w:tc>
          <w:tcPr>
            <w:tcW w:w="2268" w:type="dxa"/>
            <w:shd w:val="clear" w:color="auto" w:fill="auto"/>
          </w:tcPr>
          <w:p w14:paraId="57169F2F" w14:textId="77777777" w:rsidR="00327C02" w:rsidRPr="00884F8E" w:rsidRDefault="00327C02" w:rsidP="000158C5">
            <w:pPr>
              <w:spacing w:after="0" w:line="240" w:lineRule="auto"/>
              <w:rPr>
                <w:szCs w:val="24"/>
              </w:rPr>
            </w:pPr>
            <w:r w:rsidRPr="00884F8E">
              <w:rPr>
                <w:szCs w:val="24"/>
              </w:rPr>
              <w:t>490</w:t>
            </w:r>
            <w:r w:rsidRPr="00884F8E">
              <w:rPr>
                <w:szCs w:val="24"/>
                <w:vertAlign w:val="superscript"/>
              </w:rPr>
              <w:t>f</w:t>
            </w:r>
          </w:p>
        </w:tc>
        <w:tc>
          <w:tcPr>
            <w:tcW w:w="3686" w:type="dxa"/>
            <w:shd w:val="clear" w:color="auto" w:fill="auto"/>
          </w:tcPr>
          <w:p w14:paraId="19E5B8DA" w14:textId="77777777" w:rsidR="00327C02" w:rsidRPr="00884F8E" w:rsidRDefault="00327C02" w:rsidP="000158C5">
            <w:pPr>
              <w:spacing w:after="0" w:line="240" w:lineRule="auto"/>
              <w:rPr>
                <w:szCs w:val="24"/>
                <w:lang w:val="en-US"/>
              </w:rPr>
            </w:pPr>
            <w:r>
              <w:rPr>
                <w:szCs w:val="24"/>
                <w:lang w:val="en-US"/>
              </w:rPr>
              <w:t>8</w:t>
            </w:r>
            <w:r w:rsidRPr="00C6300E">
              <w:rPr>
                <w:rFonts w:eastAsia="Times New Roman"/>
                <w:szCs w:val="24"/>
                <w:lang w:val="en-US" w:eastAsia="de-DE"/>
              </w:rPr>
              <w:t>×</w:t>
            </w:r>
            <w:r w:rsidRPr="00884F8E">
              <w:rPr>
                <w:szCs w:val="24"/>
                <w:lang w:val="en-US"/>
              </w:rPr>
              <w:t>10</w:t>
            </w:r>
            <w:r w:rsidRPr="00884F8E">
              <w:rPr>
                <w:szCs w:val="24"/>
                <w:vertAlign w:val="superscript"/>
                <w:lang w:val="en-US"/>
              </w:rPr>
              <w:t>11g</w:t>
            </w:r>
          </w:p>
        </w:tc>
      </w:tr>
      <w:tr w:rsidR="00327C02" w:rsidRPr="0076453B" w14:paraId="739B517D" w14:textId="77777777" w:rsidTr="000158C5">
        <w:tc>
          <w:tcPr>
            <w:tcW w:w="2977" w:type="dxa"/>
            <w:shd w:val="clear" w:color="auto" w:fill="auto"/>
          </w:tcPr>
          <w:p w14:paraId="6BDCA0E3" w14:textId="77777777" w:rsidR="00327C02" w:rsidRPr="00884F8E" w:rsidRDefault="00327C02" w:rsidP="000158C5">
            <w:pPr>
              <w:spacing w:after="0" w:line="240" w:lineRule="auto"/>
              <w:rPr>
                <w:szCs w:val="24"/>
              </w:rPr>
            </w:pPr>
            <w:r w:rsidRPr="005E2FDD">
              <w:rPr>
                <w:szCs w:val="24"/>
              </w:rPr>
              <w:t>Plug-in hybrid car</w:t>
            </w:r>
            <w:r w:rsidRPr="00884F8E">
              <w:rPr>
                <w:szCs w:val="24"/>
              </w:rPr>
              <w:t>s - Diesel (Euro 6b)</w:t>
            </w:r>
          </w:p>
        </w:tc>
        <w:tc>
          <w:tcPr>
            <w:tcW w:w="2268" w:type="dxa"/>
            <w:shd w:val="clear" w:color="auto" w:fill="auto"/>
          </w:tcPr>
          <w:p w14:paraId="0A152100" w14:textId="77777777" w:rsidR="00327C02" w:rsidRPr="00884F8E" w:rsidRDefault="00327C02" w:rsidP="000158C5">
            <w:pPr>
              <w:spacing w:after="0" w:line="240" w:lineRule="auto"/>
              <w:rPr>
                <w:szCs w:val="24"/>
              </w:rPr>
            </w:pPr>
            <w:r w:rsidRPr="00884F8E">
              <w:rPr>
                <w:szCs w:val="24"/>
              </w:rPr>
              <w:t>490</w:t>
            </w:r>
            <w:r w:rsidRPr="00884F8E">
              <w:rPr>
                <w:szCs w:val="24"/>
                <w:vertAlign w:val="superscript"/>
              </w:rPr>
              <w:t>f</w:t>
            </w:r>
          </w:p>
        </w:tc>
        <w:tc>
          <w:tcPr>
            <w:tcW w:w="3686" w:type="dxa"/>
            <w:shd w:val="clear" w:color="auto" w:fill="auto"/>
          </w:tcPr>
          <w:p w14:paraId="679FAC21" w14:textId="77777777" w:rsidR="00327C02" w:rsidRPr="00884F8E" w:rsidRDefault="00327C02" w:rsidP="000158C5">
            <w:pPr>
              <w:spacing w:after="0" w:line="240" w:lineRule="auto"/>
              <w:rPr>
                <w:szCs w:val="24"/>
                <w:lang w:val="en-US"/>
              </w:rPr>
            </w:pPr>
            <w:r>
              <w:rPr>
                <w:szCs w:val="24"/>
                <w:lang w:val="en-US"/>
              </w:rPr>
              <w:t>8</w:t>
            </w:r>
            <w:r w:rsidRPr="00C6300E">
              <w:rPr>
                <w:rFonts w:eastAsia="Times New Roman"/>
                <w:szCs w:val="24"/>
                <w:lang w:val="en-US" w:eastAsia="de-DE"/>
              </w:rPr>
              <w:t>×</w:t>
            </w:r>
            <w:r w:rsidRPr="00884F8E">
              <w:rPr>
                <w:szCs w:val="24"/>
                <w:lang w:val="en-US"/>
              </w:rPr>
              <w:t>10</w:t>
            </w:r>
            <w:r w:rsidRPr="00884F8E">
              <w:rPr>
                <w:szCs w:val="24"/>
                <w:vertAlign w:val="superscript"/>
                <w:lang w:val="en-US"/>
              </w:rPr>
              <w:t>11g</w:t>
            </w:r>
          </w:p>
        </w:tc>
      </w:tr>
      <w:tr w:rsidR="00327C02" w:rsidRPr="003F201E" w14:paraId="05D32F45" w14:textId="77777777" w:rsidTr="000158C5">
        <w:tc>
          <w:tcPr>
            <w:tcW w:w="2977" w:type="dxa"/>
            <w:shd w:val="clear" w:color="auto" w:fill="auto"/>
          </w:tcPr>
          <w:p w14:paraId="28923102" w14:textId="77777777" w:rsidR="00327C02" w:rsidRPr="00884F8E" w:rsidRDefault="00327C02" w:rsidP="000158C5">
            <w:pPr>
              <w:spacing w:after="0" w:line="240" w:lineRule="auto"/>
              <w:rPr>
                <w:szCs w:val="24"/>
              </w:rPr>
            </w:pPr>
            <w:r>
              <w:rPr>
                <w:szCs w:val="24"/>
              </w:rPr>
              <w:t>Conventional car</w:t>
            </w:r>
            <w:r w:rsidRPr="00884F8E">
              <w:rPr>
                <w:szCs w:val="24"/>
              </w:rPr>
              <w:t>s</w:t>
            </w:r>
            <w:r>
              <w:rPr>
                <w:szCs w:val="24"/>
              </w:rPr>
              <w:t xml:space="preserve"> -</w:t>
            </w:r>
            <w:r w:rsidRPr="00884F8E">
              <w:rPr>
                <w:szCs w:val="24"/>
              </w:rPr>
              <w:t xml:space="preserve"> Diesel (Euro 5)</w:t>
            </w:r>
          </w:p>
        </w:tc>
        <w:tc>
          <w:tcPr>
            <w:tcW w:w="2268" w:type="dxa"/>
            <w:shd w:val="clear" w:color="auto" w:fill="auto"/>
          </w:tcPr>
          <w:p w14:paraId="0B6ED24D" w14:textId="77777777" w:rsidR="00327C02" w:rsidRPr="00884F8E" w:rsidRDefault="00327C02" w:rsidP="000158C5">
            <w:pPr>
              <w:spacing w:after="0" w:line="240" w:lineRule="auto"/>
              <w:rPr>
                <w:szCs w:val="24"/>
              </w:rPr>
            </w:pPr>
            <w:r w:rsidRPr="00884F8E">
              <w:rPr>
                <w:szCs w:val="24"/>
              </w:rPr>
              <w:t>610</w:t>
            </w:r>
          </w:p>
        </w:tc>
        <w:tc>
          <w:tcPr>
            <w:tcW w:w="3686" w:type="dxa"/>
            <w:shd w:val="clear" w:color="auto" w:fill="auto"/>
          </w:tcPr>
          <w:p w14:paraId="35868CC5" w14:textId="77777777" w:rsidR="00327C02" w:rsidRPr="00884F8E" w:rsidRDefault="00327C02" w:rsidP="000158C5">
            <w:pPr>
              <w:spacing w:after="0" w:line="240" w:lineRule="auto"/>
              <w:rPr>
                <w:szCs w:val="24"/>
              </w:rPr>
            </w:pPr>
            <w:r>
              <w:rPr>
                <w:szCs w:val="24"/>
                <w:lang w:val="en-US"/>
              </w:rPr>
              <w:t>4</w:t>
            </w:r>
            <w:r w:rsidRPr="00C6300E">
              <w:rPr>
                <w:rFonts w:eastAsia="Times New Roman"/>
                <w:szCs w:val="24"/>
                <w:lang w:val="en-US" w:eastAsia="de-DE"/>
              </w:rPr>
              <w:t>×</w:t>
            </w:r>
            <w:r w:rsidRPr="00884F8E">
              <w:rPr>
                <w:szCs w:val="24"/>
                <w:lang w:val="en-US"/>
              </w:rPr>
              <w:t>10</w:t>
            </w:r>
            <w:r w:rsidRPr="00884F8E">
              <w:rPr>
                <w:szCs w:val="24"/>
                <w:vertAlign w:val="superscript"/>
                <w:lang w:val="en-US"/>
              </w:rPr>
              <w:t>11c</w:t>
            </w:r>
          </w:p>
        </w:tc>
      </w:tr>
      <w:tr w:rsidR="00327C02" w:rsidRPr="003F201E" w14:paraId="0DE65CD5" w14:textId="77777777" w:rsidTr="000158C5">
        <w:tc>
          <w:tcPr>
            <w:tcW w:w="2977" w:type="dxa"/>
            <w:shd w:val="clear" w:color="auto" w:fill="auto"/>
          </w:tcPr>
          <w:p w14:paraId="11C92B68" w14:textId="77777777" w:rsidR="00327C02" w:rsidRPr="00884F8E" w:rsidRDefault="00327C02" w:rsidP="000158C5">
            <w:pPr>
              <w:spacing w:after="0" w:line="240" w:lineRule="auto"/>
              <w:rPr>
                <w:szCs w:val="24"/>
              </w:rPr>
            </w:pPr>
            <w:r>
              <w:rPr>
                <w:szCs w:val="24"/>
              </w:rPr>
              <w:t>Conventional car</w:t>
            </w:r>
            <w:r w:rsidRPr="00884F8E">
              <w:rPr>
                <w:szCs w:val="24"/>
              </w:rPr>
              <w:t xml:space="preserve">s </w:t>
            </w:r>
            <w:r>
              <w:rPr>
                <w:szCs w:val="24"/>
              </w:rPr>
              <w:t xml:space="preserve">- </w:t>
            </w:r>
            <w:r w:rsidRPr="00884F8E">
              <w:rPr>
                <w:szCs w:val="24"/>
              </w:rPr>
              <w:t>Diesel (Euro 6b)</w:t>
            </w:r>
          </w:p>
        </w:tc>
        <w:tc>
          <w:tcPr>
            <w:tcW w:w="2268" w:type="dxa"/>
            <w:shd w:val="clear" w:color="auto" w:fill="auto"/>
          </w:tcPr>
          <w:p w14:paraId="6D92F73D" w14:textId="77777777" w:rsidR="00327C02" w:rsidRPr="00884F8E" w:rsidRDefault="00327C02" w:rsidP="000158C5">
            <w:pPr>
              <w:spacing w:after="0" w:line="240" w:lineRule="auto"/>
              <w:rPr>
                <w:szCs w:val="24"/>
              </w:rPr>
            </w:pPr>
            <w:r w:rsidRPr="00884F8E">
              <w:rPr>
                <w:szCs w:val="24"/>
              </w:rPr>
              <w:t>500</w:t>
            </w:r>
          </w:p>
        </w:tc>
        <w:tc>
          <w:tcPr>
            <w:tcW w:w="3686" w:type="dxa"/>
            <w:shd w:val="clear" w:color="auto" w:fill="auto"/>
          </w:tcPr>
          <w:p w14:paraId="3A23E3C9" w14:textId="77777777" w:rsidR="00327C02" w:rsidRPr="00884F8E" w:rsidRDefault="00327C02" w:rsidP="000158C5">
            <w:pPr>
              <w:spacing w:after="0" w:line="240" w:lineRule="auto"/>
              <w:rPr>
                <w:szCs w:val="24"/>
              </w:rPr>
            </w:pPr>
            <w:r>
              <w:rPr>
                <w:szCs w:val="24"/>
                <w:lang w:val="en-US"/>
              </w:rPr>
              <w:t>4</w:t>
            </w:r>
            <w:r w:rsidRPr="00C6300E">
              <w:rPr>
                <w:rFonts w:eastAsia="Times New Roman"/>
                <w:szCs w:val="24"/>
                <w:lang w:val="en-US" w:eastAsia="de-DE"/>
              </w:rPr>
              <w:t>×</w:t>
            </w:r>
            <w:r w:rsidRPr="00884F8E">
              <w:rPr>
                <w:szCs w:val="24"/>
                <w:lang w:val="en-US"/>
              </w:rPr>
              <w:t>10</w:t>
            </w:r>
            <w:r w:rsidRPr="00884F8E">
              <w:rPr>
                <w:szCs w:val="24"/>
                <w:vertAlign w:val="superscript"/>
                <w:lang w:val="en-US"/>
              </w:rPr>
              <w:t>11c</w:t>
            </w:r>
          </w:p>
        </w:tc>
      </w:tr>
      <w:tr w:rsidR="00327C02" w:rsidRPr="003F201E" w14:paraId="26617596" w14:textId="77777777" w:rsidTr="000158C5">
        <w:tc>
          <w:tcPr>
            <w:tcW w:w="2977" w:type="dxa"/>
            <w:shd w:val="clear" w:color="auto" w:fill="auto"/>
          </w:tcPr>
          <w:p w14:paraId="5983FD71" w14:textId="77777777" w:rsidR="00327C02" w:rsidRPr="00884F8E" w:rsidRDefault="00327C02" w:rsidP="000158C5">
            <w:pPr>
              <w:spacing w:after="0" w:line="240" w:lineRule="auto"/>
              <w:rPr>
                <w:szCs w:val="24"/>
              </w:rPr>
            </w:pPr>
            <w:r>
              <w:rPr>
                <w:szCs w:val="24"/>
              </w:rPr>
              <w:t>Conventional cars -</w:t>
            </w:r>
            <w:r w:rsidRPr="00884F8E">
              <w:rPr>
                <w:szCs w:val="24"/>
              </w:rPr>
              <w:t xml:space="preserve"> Gasoline (Euro 5)</w:t>
            </w:r>
          </w:p>
        </w:tc>
        <w:tc>
          <w:tcPr>
            <w:tcW w:w="2268" w:type="dxa"/>
            <w:shd w:val="clear" w:color="auto" w:fill="auto"/>
          </w:tcPr>
          <w:p w14:paraId="379EBC61" w14:textId="77777777" w:rsidR="00327C02" w:rsidRPr="00884F8E" w:rsidRDefault="00327C02" w:rsidP="000158C5">
            <w:pPr>
              <w:spacing w:after="0" w:line="240" w:lineRule="auto"/>
              <w:rPr>
                <w:szCs w:val="24"/>
              </w:rPr>
            </w:pPr>
            <w:r w:rsidRPr="00884F8E">
              <w:rPr>
                <w:szCs w:val="24"/>
              </w:rPr>
              <w:t>60</w:t>
            </w:r>
          </w:p>
        </w:tc>
        <w:tc>
          <w:tcPr>
            <w:tcW w:w="3686" w:type="dxa"/>
            <w:shd w:val="clear" w:color="auto" w:fill="auto"/>
          </w:tcPr>
          <w:p w14:paraId="5FADB765" w14:textId="77777777" w:rsidR="00327C02" w:rsidRPr="00884F8E" w:rsidRDefault="00327C02" w:rsidP="000158C5">
            <w:pPr>
              <w:spacing w:after="0" w:line="240" w:lineRule="auto"/>
              <w:rPr>
                <w:szCs w:val="24"/>
              </w:rPr>
            </w:pPr>
            <w:r>
              <w:rPr>
                <w:szCs w:val="24"/>
                <w:lang w:val="en-US"/>
              </w:rPr>
              <w:t>1</w:t>
            </w:r>
            <w:r w:rsidRPr="00C6300E">
              <w:rPr>
                <w:rFonts w:eastAsia="Times New Roman"/>
                <w:szCs w:val="24"/>
                <w:lang w:val="en-US" w:eastAsia="de-DE"/>
              </w:rPr>
              <w:t>×</w:t>
            </w:r>
            <w:r w:rsidRPr="00884F8E">
              <w:rPr>
                <w:szCs w:val="24"/>
                <w:lang w:val="en-US"/>
              </w:rPr>
              <w:t>10</w:t>
            </w:r>
            <w:r w:rsidRPr="00884F8E">
              <w:rPr>
                <w:szCs w:val="24"/>
                <w:vertAlign w:val="superscript"/>
                <w:lang w:val="en-US"/>
              </w:rPr>
              <w:t>12d</w:t>
            </w:r>
          </w:p>
        </w:tc>
      </w:tr>
      <w:tr w:rsidR="00327C02" w:rsidRPr="003F201E" w14:paraId="75A8BD22" w14:textId="77777777" w:rsidTr="000158C5">
        <w:tc>
          <w:tcPr>
            <w:tcW w:w="2977" w:type="dxa"/>
            <w:shd w:val="clear" w:color="auto" w:fill="auto"/>
          </w:tcPr>
          <w:p w14:paraId="03E8B172" w14:textId="77777777" w:rsidR="00327C02" w:rsidRPr="00B104CA" w:rsidRDefault="00327C02" w:rsidP="000158C5">
            <w:pPr>
              <w:spacing w:after="0" w:line="240" w:lineRule="auto"/>
              <w:rPr>
                <w:szCs w:val="24"/>
                <w:lang w:val="en-GB"/>
              </w:rPr>
            </w:pPr>
            <w:r w:rsidRPr="00B104CA">
              <w:rPr>
                <w:szCs w:val="24"/>
                <w:lang w:val="en-GB"/>
              </w:rPr>
              <w:t>Conventional cars - Gasoline (Euro 6b)</w:t>
            </w:r>
          </w:p>
        </w:tc>
        <w:tc>
          <w:tcPr>
            <w:tcW w:w="2268" w:type="dxa"/>
            <w:shd w:val="clear" w:color="auto" w:fill="auto"/>
          </w:tcPr>
          <w:p w14:paraId="10EC0D80" w14:textId="77777777" w:rsidR="00327C02" w:rsidRPr="00884F8E" w:rsidRDefault="00327C02" w:rsidP="000158C5">
            <w:pPr>
              <w:spacing w:after="0" w:line="240" w:lineRule="auto"/>
              <w:rPr>
                <w:szCs w:val="24"/>
              </w:rPr>
            </w:pPr>
            <w:r w:rsidRPr="00884F8E">
              <w:rPr>
                <w:szCs w:val="24"/>
              </w:rPr>
              <w:t>60</w:t>
            </w:r>
          </w:p>
        </w:tc>
        <w:tc>
          <w:tcPr>
            <w:tcW w:w="3686" w:type="dxa"/>
            <w:shd w:val="clear" w:color="auto" w:fill="auto"/>
          </w:tcPr>
          <w:p w14:paraId="4ACEABFC" w14:textId="77777777" w:rsidR="00327C02" w:rsidRPr="00884F8E" w:rsidRDefault="00327C02" w:rsidP="000158C5">
            <w:pPr>
              <w:keepNext/>
              <w:spacing w:after="0" w:line="240" w:lineRule="auto"/>
              <w:rPr>
                <w:szCs w:val="24"/>
              </w:rPr>
            </w:pPr>
            <w:r>
              <w:rPr>
                <w:szCs w:val="24"/>
                <w:lang w:val="en-US"/>
              </w:rPr>
              <w:t>4</w:t>
            </w:r>
            <w:r w:rsidRPr="00C6300E">
              <w:rPr>
                <w:rFonts w:eastAsia="Times New Roman"/>
                <w:szCs w:val="24"/>
                <w:lang w:val="en-US" w:eastAsia="de-DE"/>
              </w:rPr>
              <w:t>×</w:t>
            </w:r>
            <w:r w:rsidRPr="00884F8E">
              <w:rPr>
                <w:szCs w:val="24"/>
                <w:lang w:val="en-US"/>
              </w:rPr>
              <w:t>10</w:t>
            </w:r>
            <w:r w:rsidRPr="00884F8E">
              <w:rPr>
                <w:szCs w:val="24"/>
                <w:vertAlign w:val="superscript"/>
                <w:lang w:val="en-US"/>
              </w:rPr>
              <w:t>12e</w:t>
            </w:r>
          </w:p>
        </w:tc>
      </w:tr>
    </w:tbl>
    <w:p w14:paraId="656CB257" w14:textId="77777777" w:rsidR="00327C02" w:rsidRDefault="00327C02" w:rsidP="00327C02">
      <w:pPr>
        <w:spacing w:after="0" w:line="240" w:lineRule="auto"/>
        <w:rPr>
          <w:sz w:val="20"/>
          <w:szCs w:val="20"/>
          <w:lang w:val="en-US"/>
        </w:rPr>
      </w:pPr>
      <w:r>
        <w:rPr>
          <w:sz w:val="20"/>
          <w:szCs w:val="20"/>
          <w:vertAlign w:val="superscript"/>
          <w:lang w:val="en-US"/>
        </w:rPr>
        <w:t>a</w:t>
      </w:r>
      <w:r>
        <w:rPr>
          <w:sz w:val="20"/>
          <w:szCs w:val="20"/>
          <w:lang w:val="en-US"/>
        </w:rPr>
        <w:t>based on the particle number emissions of one car equipped with a port-fuel-injection engine and the assumption that plug-in hybrids drive 20% of the distance electrically</w:t>
      </w:r>
    </w:p>
    <w:p w14:paraId="1602B084" w14:textId="77777777" w:rsidR="00327C02" w:rsidRPr="00F2106D" w:rsidRDefault="00327C02" w:rsidP="00327C02">
      <w:pPr>
        <w:spacing w:after="0" w:line="240" w:lineRule="auto"/>
        <w:rPr>
          <w:sz w:val="20"/>
          <w:szCs w:val="20"/>
          <w:lang w:val="en-US"/>
        </w:rPr>
      </w:pPr>
      <w:proofErr w:type="spellStart"/>
      <w:r w:rsidRPr="000D54D9">
        <w:rPr>
          <w:sz w:val="20"/>
          <w:szCs w:val="20"/>
          <w:vertAlign w:val="superscript"/>
          <w:lang w:val="en-US"/>
        </w:rPr>
        <w:t>b</w:t>
      </w:r>
      <w:r>
        <w:rPr>
          <w:sz w:val="20"/>
          <w:szCs w:val="20"/>
          <w:lang w:val="en-US"/>
        </w:rPr>
        <w:t>based</w:t>
      </w:r>
      <w:proofErr w:type="spellEnd"/>
      <w:r>
        <w:rPr>
          <w:sz w:val="20"/>
          <w:szCs w:val="20"/>
          <w:lang w:val="en-US"/>
        </w:rPr>
        <w:t xml:space="preserve"> on the midpoint of</w:t>
      </w:r>
      <w:r w:rsidRPr="00F2106D">
        <w:rPr>
          <w:sz w:val="20"/>
          <w:szCs w:val="20"/>
          <w:lang w:val="en-US"/>
        </w:rPr>
        <w:t xml:space="preserve"> </w:t>
      </w:r>
      <w:r>
        <w:rPr>
          <w:sz w:val="20"/>
          <w:szCs w:val="20"/>
          <w:lang w:val="en-US"/>
        </w:rPr>
        <w:t>particle number</w:t>
      </w:r>
      <w:r w:rsidRPr="00F2106D">
        <w:rPr>
          <w:sz w:val="20"/>
          <w:szCs w:val="20"/>
          <w:lang w:val="en-US"/>
        </w:rPr>
        <w:t xml:space="preserve"> emissions</w:t>
      </w:r>
      <w:r>
        <w:rPr>
          <w:sz w:val="20"/>
          <w:szCs w:val="20"/>
          <w:lang w:val="en-US"/>
        </w:rPr>
        <w:t xml:space="preserve"> observed for seven vehicles with</w:t>
      </w:r>
      <w:r w:rsidRPr="00F2106D">
        <w:rPr>
          <w:sz w:val="20"/>
          <w:szCs w:val="20"/>
          <w:lang w:val="en-US"/>
        </w:rPr>
        <w:t xml:space="preserve"> g</w:t>
      </w:r>
      <w:r>
        <w:rPr>
          <w:sz w:val="20"/>
          <w:szCs w:val="20"/>
          <w:lang w:val="en-US"/>
        </w:rPr>
        <w:t>asoline direct injection engines and the assumption that plug-in hybrids drive 20% of the distance electrically</w:t>
      </w:r>
    </w:p>
    <w:p w14:paraId="003A6391" w14:textId="77777777" w:rsidR="00327C02" w:rsidRDefault="00327C02" w:rsidP="00327C02">
      <w:pPr>
        <w:spacing w:after="0" w:line="240" w:lineRule="auto"/>
        <w:rPr>
          <w:sz w:val="20"/>
          <w:szCs w:val="20"/>
          <w:lang w:val="en-US"/>
        </w:rPr>
      </w:pPr>
      <w:proofErr w:type="spellStart"/>
      <w:r>
        <w:rPr>
          <w:sz w:val="20"/>
          <w:szCs w:val="20"/>
          <w:vertAlign w:val="superscript"/>
          <w:lang w:val="en-US"/>
        </w:rPr>
        <w:t>c</w:t>
      </w:r>
      <w:r>
        <w:rPr>
          <w:sz w:val="20"/>
          <w:szCs w:val="20"/>
          <w:lang w:val="en-US"/>
        </w:rPr>
        <w:t>based</w:t>
      </w:r>
      <w:proofErr w:type="spellEnd"/>
      <w:r>
        <w:rPr>
          <w:sz w:val="20"/>
          <w:szCs w:val="20"/>
          <w:lang w:val="en-US"/>
        </w:rPr>
        <w:t xml:space="preserve"> on the mean particle number</w:t>
      </w:r>
      <w:r w:rsidRPr="00F2106D">
        <w:rPr>
          <w:sz w:val="20"/>
          <w:szCs w:val="20"/>
          <w:lang w:val="en-US"/>
        </w:rPr>
        <w:t xml:space="preserve"> emissions of two diesel cars</w:t>
      </w:r>
      <w:r>
        <w:rPr>
          <w:sz w:val="20"/>
          <w:szCs w:val="20"/>
          <w:lang w:val="en-US"/>
        </w:rPr>
        <w:t xml:space="preserve"> equipped with a particulate filter</w:t>
      </w:r>
    </w:p>
    <w:p w14:paraId="5B0A5A36" w14:textId="77777777" w:rsidR="00327C02" w:rsidRDefault="00327C02" w:rsidP="00327C02">
      <w:pPr>
        <w:spacing w:after="0" w:line="240" w:lineRule="auto"/>
        <w:rPr>
          <w:sz w:val="20"/>
          <w:szCs w:val="20"/>
          <w:lang w:val="en-US"/>
        </w:rPr>
      </w:pPr>
      <w:proofErr w:type="spellStart"/>
      <w:r w:rsidRPr="000D54D9">
        <w:rPr>
          <w:sz w:val="20"/>
          <w:szCs w:val="20"/>
          <w:vertAlign w:val="superscript"/>
          <w:lang w:val="en-US"/>
        </w:rPr>
        <w:t>d</w:t>
      </w:r>
      <w:r>
        <w:rPr>
          <w:sz w:val="20"/>
          <w:szCs w:val="20"/>
          <w:lang w:val="en-US"/>
        </w:rPr>
        <w:t>based</w:t>
      </w:r>
      <w:proofErr w:type="spellEnd"/>
      <w:r>
        <w:rPr>
          <w:sz w:val="20"/>
          <w:szCs w:val="20"/>
          <w:lang w:val="en-US"/>
        </w:rPr>
        <w:t xml:space="preserve"> on the particle number emissions of one car equipped with a port-fuel-injection engine</w:t>
      </w:r>
    </w:p>
    <w:p w14:paraId="3733ADB9" w14:textId="77777777" w:rsidR="00327C02" w:rsidRPr="00F2106D" w:rsidRDefault="00327C02" w:rsidP="00327C02">
      <w:pPr>
        <w:spacing w:after="0" w:line="240" w:lineRule="auto"/>
        <w:rPr>
          <w:sz w:val="20"/>
          <w:szCs w:val="20"/>
          <w:lang w:val="en-US"/>
        </w:rPr>
      </w:pPr>
      <w:proofErr w:type="spellStart"/>
      <w:r w:rsidRPr="000D54D9">
        <w:rPr>
          <w:sz w:val="20"/>
          <w:szCs w:val="20"/>
          <w:vertAlign w:val="superscript"/>
          <w:lang w:val="en-US"/>
        </w:rPr>
        <w:t>e</w:t>
      </w:r>
      <w:r>
        <w:rPr>
          <w:sz w:val="20"/>
          <w:szCs w:val="20"/>
          <w:lang w:val="en-US"/>
        </w:rPr>
        <w:t>based</w:t>
      </w:r>
      <w:proofErr w:type="spellEnd"/>
      <w:r>
        <w:rPr>
          <w:sz w:val="20"/>
          <w:szCs w:val="20"/>
          <w:lang w:val="en-US"/>
        </w:rPr>
        <w:t xml:space="preserve"> on the midpoint of particle number</w:t>
      </w:r>
      <w:r w:rsidRPr="00F2106D">
        <w:rPr>
          <w:sz w:val="20"/>
          <w:szCs w:val="20"/>
          <w:lang w:val="en-US"/>
        </w:rPr>
        <w:t xml:space="preserve"> emissions</w:t>
      </w:r>
      <w:r>
        <w:rPr>
          <w:sz w:val="20"/>
          <w:szCs w:val="20"/>
          <w:lang w:val="en-US"/>
        </w:rPr>
        <w:t xml:space="preserve"> observed for seven vehicles with</w:t>
      </w:r>
      <w:r w:rsidRPr="00F2106D">
        <w:rPr>
          <w:sz w:val="20"/>
          <w:szCs w:val="20"/>
          <w:lang w:val="en-US"/>
        </w:rPr>
        <w:t xml:space="preserve"> g</w:t>
      </w:r>
      <w:r>
        <w:rPr>
          <w:sz w:val="20"/>
          <w:szCs w:val="20"/>
          <w:lang w:val="en-US"/>
        </w:rPr>
        <w:t>asoline direct injection engines</w:t>
      </w:r>
    </w:p>
    <w:p w14:paraId="549C6DD8" w14:textId="77777777" w:rsidR="00327C02" w:rsidRPr="00AE0126" w:rsidRDefault="00327C02" w:rsidP="00327C02">
      <w:pPr>
        <w:spacing w:after="0" w:line="240" w:lineRule="auto"/>
        <w:rPr>
          <w:sz w:val="20"/>
          <w:szCs w:val="20"/>
          <w:lang w:val="en-US"/>
        </w:rPr>
      </w:pPr>
      <w:proofErr w:type="spellStart"/>
      <w:r w:rsidRPr="00AE0126">
        <w:rPr>
          <w:sz w:val="20"/>
          <w:szCs w:val="20"/>
          <w:vertAlign w:val="superscript"/>
          <w:lang w:val="en-US"/>
        </w:rPr>
        <w:t>f</w:t>
      </w:r>
      <w:r>
        <w:rPr>
          <w:sz w:val="20"/>
          <w:szCs w:val="20"/>
          <w:lang w:val="en-US"/>
        </w:rPr>
        <w:t>based</w:t>
      </w:r>
      <w:proofErr w:type="spellEnd"/>
      <w:r>
        <w:rPr>
          <w:sz w:val="20"/>
          <w:szCs w:val="20"/>
          <w:lang w:val="en-US"/>
        </w:rPr>
        <w:t xml:space="preserve"> on</w:t>
      </w:r>
      <w:r w:rsidRPr="00AE0126">
        <w:rPr>
          <w:sz w:val="20"/>
          <w:szCs w:val="20"/>
          <w:lang w:val="en-US"/>
        </w:rPr>
        <w:t xml:space="preserve"> t</w:t>
      </w:r>
      <w:r>
        <w:rPr>
          <w:sz w:val="20"/>
          <w:szCs w:val="20"/>
          <w:lang w:val="en-US"/>
        </w:rPr>
        <w:t>wo plug-in hybrid diesel car</w:t>
      </w:r>
      <w:r w:rsidRPr="00AE0126">
        <w:rPr>
          <w:sz w:val="20"/>
          <w:szCs w:val="20"/>
          <w:lang w:val="en-US"/>
        </w:rPr>
        <w:t>s tested by Franco et al. (2016)</w:t>
      </w:r>
    </w:p>
    <w:p w14:paraId="6FF82BAB" w14:textId="574311DE" w:rsidR="00327C02" w:rsidRPr="00327C02" w:rsidRDefault="00327C02" w:rsidP="00327C02">
      <w:pPr>
        <w:spacing w:after="0" w:line="240" w:lineRule="auto"/>
        <w:rPr>
          <w:sz w:val="20"/>
          <w:szCs w:val="20"/>
          <w:lang w:val="en-US"/>
        </w:rPr>
        <w:sectPr w:rsidR="00327C02" w:rsidRPr="00327C02" w:rsidSect="00BD75B0">
          <w:footnotePr>
            <w:numStart w:val="4"/>
          </w:footnotePr>
          <w:pgSz w:w="11906" w:h="16838"/>
          <w:pgMar w:top="1417" w:right="1417" w:bottom="1134" w:left="1417" w:header="708" w:footer="708" w:gutter="0"/>
          <w:cols w:space="708"/>
          <w:docGrid w:linePitch="360"/>
        </w:sectPr>
      </w:pPr>
      <w:proofErr w:type="spellStart"/>
      <w:r w:rsidRPr="00AE0126">
        <w:rPr>
          <w:sz w:val="20"/>
          <w:szCs w:val="20"/>
          <w:vertAlign w:val="superscript"/>
          <w:lang w:val="en-US"/>
        </w:rPr>
        <w:t>g</w:t>
      </w:r>
      <w:r w:rsidRPr="00AE0126">
        <w:rPr>
          <w:sz w:val="20"/>
          <w:szCs w:val="20"/>
          <w:lang w:val="en-US"/>
        </w:rPr>
        <w:t>conservative</w:t>
      </w:r>
      <w:proofErr w:type="spellEnd"/>
      <w:r w:rsidRPr="00AE0126">
        <w:rPr>
          <w:sz w:val="20"/>
          <w:szCs w:val="20"/>
          <w:lang w:val="en-US"/>
        </w:rPr>
        <w:t xml:space="preserve"> estimate based on expert judgment and t</w:t>
      </w:r>
      <w:r>
        <w:rPr>
          <w:sz w:val="20"/>
          <w:szCs w:val="20"/>
          <w:lang w:val="en-US"/>
        </w:rPr>
        <w:t>wo plug-in hybrid diesel car</w:t>
      </w:r>
      <w:r w:rsidRPr="00AE0126">
        <w:rPr>
          <w:sz w:val="20"/>
          <w:szCs w:val="20"/>
          <w:lang w:val="en-US"/>
        </w:rPr>
        <w:t>s tested by Hammer et al.</w:t>
      </w:r>
      <w:r>
        <w:rPr>
          <w:sz w:val="20"/>
          <w:szCs w:val="20"/>
          <w:lang w:val="en-US"/>
        </w:rPr>
        <w:t xml:space="preserve"> (2015)</w:t>
      </w:r>
    </w:p>
    <w:p w14:paraId="1DA60D63" w14:textId="57398874" w:rsidR="00FA3112" w:rsidRPr="00D71A32" w:rsidRDefault="00327C02" w:rsidP="00327C02">
      <w:pPr>
        <w:spacing w:after="0"/>
        <w:ind w:left="1410" w:hanging="1410"/>
        <w:rPr>
          <w:lang w:val="en-GB"/>
        </w:rPr>
      </w:pPr>
      <w:r>
        <w:rPr>
          <w:szCs w:val="24"/>
          <w:lang w:val="en-US"/>
        </w:rPr>
        <w:lastRenderedPageBreak/>
        <w:t>Table S7</w:t>
      </w:r>
      <w:r w:rsidR="00FA3112" w:rsidRPr="001A7F4C">
        <w:rPr>
          <w:szCs w:val="24"/>
          <w:lang w:val="en-US"/>
        </w:rPr>
        <w:t xml:space="preserve">: </w:t>
      </w:r>
      <w:r w:rsidR="00FA3112" w:rsidRPr="001A7F4C">
        <w:rPr>
          <w:szCs w:val="24"/>
          <w:lang w:val="en-US"/>
        </w:rPr>
        <w:tab/>
        <w:t xml:space="preserve">Mean user costs of electric, plug-in hybrid, and conventional cars </w:t>
      </w:r>
      <w:r w:rsidR="00FA3112">
        <w:rPr>
          <w:szCs w:val="24"/>
          <w:lang w:val="en-US"/>
        </w:rPr>
        <w:t xml:space="preserve">when assuming a vehicle lifetime of 6 </w:t>
      </w:r>
      <w:r w:rsidR="00FA3112" w:rsidRPr="001A7F4C">
        <w:rPr>
          <w:i/>
          <w:szCs w:val="24"/>
          <w:lang w:val="en-US"/>
        </w:rPr>
        <w:t>versus</w:t>
      </w:r>
      <w:r w:rsidR="00FA3112">
        <w:rPr>
          <w:szCs w:val="24"/>
          <w:lang w:val="en-US"/>
        </w:rPr>
        <w:t xml:space="preserve"> 11 years</w:t>
      </w:r>
      <w:r w:rsidR="00FA3112" w:rsidRPr="001A7F4C">
        <w:rPr>
          <w:szCs w:val="24"/>
          <w:lang w:val="en-US"/>
        </w:rPr>
        <w:t>; error intervals depict the standard deviation of cost data</w:t>
      </w:r>
    </w:p>
    <w:tbl>
      <w:tblPr>
        <w:tblStyle w:val="Tabellenraster"/>
        <w:tblW w:w="14459" w:type="dxa"/>
        <w:tblInd w:w="108" w:type="dxa"/>
        <w:tblLayout w:type="fixed"/>
        <w:tblLook w:val="04A0" w:firstRow="1" w:lastRow="0" w:firstColumn="1" w:lastColumn="0" w:noHBand="0" w:noVBand="1"/>
      </w:tblPr>
      <w:tblGrid>
        <w:gridCol w:w="1276"/>
        <w:gridCol w:w="5245"/>
        <w:gridCol w:w="1134"/>
        <w:gridCol w:w="1134"/>
        <w:gridCol w:w="1134"/>
        <w:gridCol w:w="1134"/>
        <w:gridCol w:w="1134"/>
        <w:gridCol w:w="1134"/>
        <w:gridCol w:w="1134"/>
      </w:tblGrid>
      <w:tr w:rsidR="00FA3112" w:rsidRPr="00FA3112" w14:paraId="74E88CF4" w14:textId="77777777" w:rsidTr="003337C0">
        <w:tc>
          <w:tcPr>
            <w:tcW w:w="1276" w:type="dxa"/>
            <w:tcBorders>
              <w:bottom w:val="single" w:sz="4" w:space="0" w:color="auto"/>
            </w:tcBorders>
            <w:shd w:val="clear" w:color="auto" w:fill="D9D9D9" w:themeFill="background1" w:themeFillShade="D9"/>
            <w:vAlign w:val="center"/>
          </w:tcPr>
          <w:p w14:paraId="3D894456" w14:textId="77777777" w:rsidR="00FA3112" w:rsidRPr="004D4192" w:rsidRDefault="00FA3112" w:rsidP="003337C0">
            <w:pPr>
              <w:spacing w:line="240" w:lineRule="auto"/>
              <w:jc w:val="left"/>
              <w:rPr>
                <w:sz w:val="18"/>
                <w:szCs w:val="18"/>
                <w:lang w:val="en-GB"/>
              </w:rPr>
            </w:pPr>
          </w:p>
        </w:tc>
        <w:tc>
          <w:tcPr>
            <w:tcW w:w="5245" w:type="dxa"/>
            <w:tcBorders>
              <w:bottom w:val="single" w:sz="4" w:space="0" w:color="auto"/>
            </w:tcBorders>
            <w:shd w:val="clear" w:color="auto" w:fill="D9D9D9" w:themeFill="background1" w:themeFillShade="D9"/>
            <w:vAlign w:val="center"/>
          </w:tcPr>
          <w:p w14:paraId="065C4717" w14:textId="556923A5" w:rsidR="00FA3112" w:rsidRPr="00FA3112" w:rsidRDefault="00FA3112" w:rsidP="003337C0">
            <w:pPr>
              <w:spacing w:line="240" w:lineRule="auto"/>
              <w:jc w:val="left"/>
              <w:rPr>
                <w:sz w:val="18"/>
                <w:szCs w:val="18"/>
              </w:rPr>
            </w:pPr>
            <w:r w:rsidRPr="00FA3112">
              <w:rPr>
                <w:sz w:val="18"/>
                <w:szCs w:val="18"/>
              </w:rPr>
              <w:t>Year</w:t>
            </w:r>
          </w:p>
        </w:tc>
        <w:tc>
          <w:tcPr>
            <w:tcW w:w="1134" w:type="dxa"/>
            <w:tcBorders>
              <w:bottom w:val="single" w:sz="4" w:space="0" w:color="auto"/>
            </w:tcBorders>
            <w:shd w:val="clear" w:color="auto" w:fill="D9D9D9" w:themeFill="background1" w:themeFillShade="D9"/>
            <w:vAlign w:val="center"/>
          </w:tcPr>
          <w:p w14:paraId="1D1FF2B5" w14:textId="77777777" w:rsidR="00FA3112" w:rsidRPr="00FA3112" w:rsidRDefault="00FA3112" w:rsidP="003337C0">
            <w:pPr>
              <w:spacing w:line="240" w:lineRule="auto"/>
              <w:jc w:val="left"/>
              <w:rPr>
                <w:sz w:val="18"/>
                <w:szCs w:val="18"/>
              </w:rPr>
            </w:pPr>
            <w:r w:rsidRPr="00FA3112">
              <w:rPr>
                <w:sz w:val="18"/>
                <w:szCs w:val="18"/>
              </w:rPr>
              <w:t>2010</w:t>
            </w:r>
          </w:p>
        </w:tc>
        <w:tc>
          <w:tcPr>
            <w:tcW w:w="1134" w:type="dxa"/>
            <w:tcBorders>
              <w:bottom w:val="single" w:sz="4" w:space="0" w:color="auto"/>
            </w:tcBorders>
            <w:shd w:val="clear" w:color="auto" w:fill="D9D9D9" w:themeFill="background1" w:themeFillShade="D9"/>
            <w:vAlign w:val="center"/>
          </w:tcPr>
          <w:p w14:paraId="6DAEC9D1" w14:textId="77777777" w:rsidR="00FA3112" w:rsidRPr="00FA3112" w:rsidRDefault="00FA3112" w:rsidP="003337C0">
            <w:pPr>
              <w:spacing w:line="240" w:lineRule="auto"/>
              <w:jc w:val="left"/>
              <w:rPr>
                <w:sz w:val="18"/>
                <w:szCs w:val="18"/>
              </w:rPr>
            </w:pPr>
            <w:r w:rsidRPr="00FA3112">
              <w:rPr>
                <w:sz w:val="18"/>
                <w:szCs w:val="18"/>
              </w:rPr>
              <w:t>2011</w:t>
            </w:r>
          </w:p>
        </w:tc>
        <w:tc>
          <w:tcPr>
            <w:tcW w:w="1134" w:type="dxa"/>
            <w:tcBorders>
              <w:bottom w:val="single" w:sz="4" w:space="0" w:color="auto"/>
            </w:tcBorders>
            <w:shd w:val="clear" w:color="auto" w:fill="D9D9D9" w:themeFill="background1" w:themeFillShade="D9"/>
            <w:vAlign w:val="center"/>
          </w:tcPr>
          <w:p w14:paraId="65813C60" w14:textId="77777777" w:rsidR="00FA3112" w:rsidRPr="00FA3112" w:rsidRDefault="00FA3112" w:rsidP="003337C0">
            <w:pPr>
              <w:spacing w:line="240" w:lineRule="auto"/>
              <w:jc w:val="left"/>
              <w:rPr>
                <w:sz w:val="18"/>
                <w:szCs w:val="18"/>
              </w:rPr>
            </w:pPr>
            <w:r w:rsidRPr="00FA3112">
              <w:rPr>
                <w:sz w:val="18"/>
                <w:szCs w:val="18"/>
              </w:rPr>
              <w:t>2012</w:t>
            </w:r>
          </w:p>
        </w:tc>
        <w:tc>
          <w:tcPr>
            <w:tcW w:w="1134" w:type="dxa"/>
            <w:tcBorders>
              <w:bottom w:val="single" w:sz="4" w:space="0" w:color="auto"/>
            </w:tcBorders>
            <w:shd w:val="clear" w:color="auto" w:fill="D9D9D9" w:themeFill="background1" w:themeFillShade="D9"/>
            <w:vAlign w:val="center"/>
          </w:tcPr>
          <w:p w14:paraId="29F62CD5" w14:textId="77777777" w:rsidR="00FA3112" w:rsidRPr="00FA3112" w:rsidRDefault="00FA3112" w:rsidP="003337C0">
            <w:pPr>
              <w:spacing w:line="240" w:lineRule="auto"/>
              <w:jc w:val="left"/>
              <w:rPr>
                <w:sz w:val="18"/>
                <w:szCs w:val="18"/>
              </w:rPr>
            </w:pPr>
            <w:r w:rsidRPr="00FA3112">
              <w:rPr>
                <w:sz w:val="18"/>
                <w:szCs w:val="18"/>
              </w:rPr>
              <w:t>2013</w:t>
            </w:r>
          </w:p>
        </w:tc>
        <w:tc>
          <w:tcPr>
            <w:tcW w:w="1134" w:type="dxa"/>
            <w:tcBorders>
              <w:bottom w:val="single" w:sz="4" w:space="0" w:color="auto"/>
            </w:tcBorders>
            <w:shd w:val="clear" w:color="auto" w:fill="D9D9D9" w:themeFill="background1" w:themeFillShade="D9"/>
            <w:vAlign w:val="center"/>
          </w:tcPr>
          <w:p w14:paraId="6422A7D1" w14:textId="77777777" w:rsidR="00FA3112" w:rsidRPr="00FA3112" w:rsidRDefault="00FA3112" w:rsidP="003337C0">
            <w:pPr>
              <w:spacing w:line="240" w:lineRule="auto"/>
              <w:jc w:val="left"/>
              <w:rPr>
                <w:sz w:val="18"/>
                <w:szCs w:val="18"/>
              </w:rPr>
            </w:pPr>
            <w:r w:rsidRPr="00FA3112">
              <w:rPr>
                <w:sz w:val="18"/>
                <w:szCs w:val="18"/>
              </w:rPr>
              <w:t>2014</w:t>
            </w:r>
          </w:p>
        </w:tc>
        <w:tc>
          <w:tcPr>
            <w:tcW w:w="1134" w:type="dxa"/>
            <w:tcBorders>
              <w:bottom w:val="single" w:sz="4" w:space="0" w:color="auto"/>
            </w:tcBorders>
            <w:shd w:val="clear" w:color="auto" w:fill="D9D9D9" w:themeFill="background1" w:themeFillShade="D9"/>
            <w:vAlign w:val="center"/>
          </w:tcPr>
          <w:p w14:paraId="208CDEDC" w14:textId="77777777" w:rsidR="00FA3112" w:rsidRPr="00FA3112" w:rsidRDefault="00FA3112" w:rsidP="003337C0">
            <w:pPr>
              <w:spacing w:line="240" w:lineRule="auto"/>
              <w:jc w:val="left"/>
              <w:rPr>
                <w:sz w:val="18"/>
                <w:szCs w:val="18"/>
              </w:rPr>
            </w:pPr>
            <w:r w:rsidRPr="00FA3112">
              <w:rPr>
                <w:sz w:val="18"/>
                <w:szCs w:val="18"/>
              </w:rPr>
              <w:t>2015</w:t>
            </w:r>
          </w:p>
        </w:tc>
        <w:tc>
          <w:tcPr>
            <w:tcW w:w="1134" w:type="dxa"/>
            <w:tcBorders>
              <w:bottom w:val="single" w:sz="4" w:space="0" w:color="auto"/>
            </w:tcBorders>
            <w:shd w:val="clear" w:color="auto" w:fill="D9D9D9" w:themeFill="background1" w:themeFillShade="D9"/>
            <w:vAlign w:val="center"/>
          </w:tcPr>
          <w:p w14:paraId="574E60E8" w14:textId="77777777" w:rsidR="00FA3112" w:rsidRPr="00FA3112" w:rsidRDefault="00FA3112" w:rsidP="003337C0">
            <w:pPr>
              <w:spacing w:line="240" w:lineRule="auto"/>
              <w:jc w:val="left"/>
              <w:rPr>
                <w:sz w:val="18"/>
                <w:szCs w:val="18"/>
              </w:rPr>
            </w:pPr>
            <w:r w:rsidRPr="00FA3112">
              <w:rPr>
                <w:sz w:val="18"/>
                <w:szCs w:val="18"/>
              </w:rPr>
              <w:t>2016</w:t>
            </w:r>
          </w:p>
        </w:tc>
      </w:tr>
      <w:tr w:rsidR="00FA3112" w:rsidRPr="00FA3112" w14:paraId="6261E1D5" w14:textId="77777777" w:rsidTr="00FA3112">
        <w:tc>
          <w:tcPr>
            <w:tcW w:w="1276" w:type="dxa"/>
            <w:vMerge w:val="restart"/>
            <w:vAlign w:val="center"/>
          </w:tcPr>
          <w:p w14:paraId="2A66594F" w14:textId="14224C4F" w:rsidR="00FA3112" w:rsidRPr="00FA3112" w:rsidRDefault="00FA3112" w:rsidP="003337C0">
            <w:pPr>
              <w:spacing w:line="240" w:lineRule="auto"/>
              <w:jc w:val="left"/>
              <w:rPr>
                <w:sz w:val="18"/>
                <w:szCs w:val="18"/>
                <w:lang w:val="en-US"/>
              </w:rPr>
            </w:pPr>
            <w:r w:rsidRPr="00FA3112">
              <w:rPr>
                <w:sz w:val="18"/>
                <w:szCs w:val="18"/>
                <w:lang w:val="en-US"/>
              </w:rPr>
              <w:t>User costs [EUR</w:t>
            </w:r>
            <w:r w:rsidRPr="00FA3112">
              <w:rPr>
                <w:sz w:val="18"/>
                <w:szCs w:val="18"/>
                <w:vertAlign w:val="subscript"/>
                <w:lang w:val="en-US"/>
              </w:rPr>
              <w:t>2015</w:t>
            </w:r>
            <w:r w:rsidRPr="00FA3112">
              <w:rPr>
                <w:sz w:val="18"/>
                <w:szCs w:val="18"/>
                <w:lang w:val="en-US"/>
              </w:rPr>
              <w:t>/km]</w:t>
            </w:r>
          </w:p>
        </w:tc>
        <w:tc>
          <w:tcPr>
            <w:tcW w:w="5245" w:type="dxa"/>
            <w:tcBorders>
              <w:bottom w:val="nil"/>
            </w:tcBorders>
            <w:vAlign w:val="center"/>
          </w:tcPr>
          <w:p w14:paraId="18746354" w14:textId="39C8296F" w:rsidR="00FA3112" w:rsidRPr="00FA3112" w:rsidRDefault="00FA3112" w:rsidP="003337C0">
            <w:pPr>
              <w:spacing w:line="240" w:lineRule="auto"/>
              <w:jc w:val="left"/>
              <w:rPr>
                <w:sz w:val="18"/>
                <w:szCs w:val="18"/>
                <w:lang w:val="en-US"/>
              </w:rPr>
            </w:pPr>
            <w:r w:rsidRPr="00FA3112">
              <w:rPr>
                <w:sz w:val="18"/>
                <w:szCs w:val="18"/>
                <w:lang w:val="en-US"/>
              </w:rPr>
              <w:t>Electric cars - 6 years lifetime</w:t>
            </w:r>
          </w:p>
        </w:tc>
        <w:tc>
          <w:tcPr>
            <w:tcW w:w="1134" w:type="dxa"/>
            <w:tcBorders>
              <w:bottom w:val="nil"/>
            </w:tcBorders>
            <w:vAlign w:val="center"/>
          </w:tcPr>
          <w:p w14:paraId="44135C91" w14:textId="77777777" w:rsidR="00FA3112" w:rsidRPr="00FA3112" w:rsidRDefault="00FA3112" w:rsidP="003337C0">
            <w:pPr>
              <w:spacing w:line="240" w:lineRule="auto"/>
              <w:jc w:val="left"/>
              <w:rPr>
                <w:sz w:val="18"/>
                <w:szCs w:val="18"/>
                <w:lang w:val="en-US"/>
              </w:rPr>
            </w:pPr>
            <w:r w:rsidRPr="00FA3112">
              <w:rPr>
                <w:sz w:val="18"/>
                <w:szCs w:val="18"/>
              </w:rPr>
              <w:t>0.64 ± 0.18</w:t>
            </w:r>
          </w:p>
        </w:tc>
        <w:tc>
          <w:tcPr>
            <w:tcW w:w="1134" w:type="dxa"/>
            <w:tcBorders>
              <w:bottom w:val="nil"/>
            </w:tcBorders>
            <w:vAlign w:val="center"/>
          </w:tcPr>
          <w:p w14:paraId="35D2F25B" w14:textId="77777777" w:rsidR="00FA3112" w:rsidRPr="00FA3112" w:rsidRDefault="00FA3112" w:rsidP="003337C0">
            <w:pPr>
              <w:spacing w:line="240" w:lineRule="auto"/>
              <w:jc w:val="left"/>
              <w:rPr>
                <w:sz w:val="18"/>
                <w:szCs w:val="18"/>
                <w:lang w:val="en-US"/>
              </w:rPr>
            </w:pPr>
            <w:r w:rsidRPr="00FA3112">
              <w:rPr>
                <w:sz w:val="18"/>
                <w:szCs w:val="18"/>
              </w:rPr>
              <w:t>0.56 ± 0.10</w:t>
            </w:r>
          </w:p>
        </w:tc>
        <w:tc>
          <w:tcPr>
            <w:tcW w:w="1134" w:type="dxa"/>
            <w:tcBorders>
              <w:bottom w:val="nil"/>
            </w:tcBorders>
            <w:vAlign w:val="center"/>
          </w:tcPr>
          <w:p w14:paraId="78A85210" w14:textId="77777777" w:rsidR="00FA3112" w:rsidRPr="00FA3112" w:rsidRDefault="00FA3112" w:rsidP="003337C0">
            <w:pPr>
              <w:tabs>
                <w:tab w:val="left" w:pos="930"/>
              </w:tabs>
              <w:spacing w:line="240" w:lineRule="auto"/>
              <w:jc w:val="left"/>
              <w:rPr>
                <w:sz w:val="18"/>
                <w:szCs w:val="18"/>
                <w:lang w:val="en-US"/>
              </w:rPr>
            </w:pPr>
            <w:r w:rsidRPr="00FA3112">
              <w:rPr>
                <w:sz w:val="18"/>
                <w:szCs w:val="18"/>
              </w:rPr>
              <w:t>0.55 ± 0.09</w:t>
            </w:r>
          </w:p>
        </w:tc>
        <w:tc>
          <w:tcPr>
            <w:tcW w:w="1134" w:type="dxa"/>
            <w:tcBorders>
              <w:bottom w:val="nil"/>
            </w:tcBorders>
            <w:vAlign w:val="center"/>
          </w:tcPr>
          <w:p w14:paraId="6C613B2D" w14:textId="77777777" w:rsidR="00FA3112" w:rsidRPr="00FA3112" w:rsidRDefault="00FA3112" w:rsidP="003337C0">
            <w:pPr>
              <w:spacing w:line="240" w:lineRule="auto"/>
              <w:jc w:val="left"/>
              <w:rPr>
                <w:sz w:val="18"/>
                <w:szCs w:val="18"/>
                <w:lang w:val="en-US"/>
              </w:rPr>
            </w:pPr>
            <w:r w:rsidRPr="00FA3112">
              <w:rPr>
                <w:sz w:val="18"/>
                <w:szCs w:val="18"/>
              </w:rPr>
              <w:t>0.65 ± 0.28</w:t>
            </w:r>
          </w:p>
        </w:tc>
        <w:tc>
          <w:tcPr>
            <w:tcW w:w="1134" w:type="dxa"/>
            <w:tcBorders>
              <w:bottom w:val="nil"/>
            </w:tcBorders>
            <w:vAlign w:val="center"/>
          </w:tcPr>
          <w:p w14:paraId="692827DA" w14:textId="77777777" w:rsidR="00FA3112" w:rsidRPr="00FA3112" w:rsidRDefault="00FA3112" w:rsidP="003337C0">
            <w:pPr>
              <w:spacing w:line="240" w:lineRule="auto"/>
              <w:jc w:val="left"/>
              <w:rPr>
                <w:sz w:val="18"/>
                <w:szCs w:val="18"/>
                <w:lang w:val="en-US"/>
              </w:rPr>
            </w:pPr>
            <w:r w:rsidRPr="00FA3112">
              <w:rPr>
                <w:sz w:val="18"/>
                <w:szCs w:val="18"/>
              </w:rPr>
              <w:t>0.57 ± 0.17</w:t>
            </w:r>
          </w:p>
        </w:tc>
        <w:tc>
          <w:tcPr>
            <w:tcW w:w="1134" w:type="dxa"/>
            <w:tcBorders>
              <w:bottom w:val="nil"/>
            </w:tcBorders>
            <w:vAlign w:val="center"/>
          </w:tcPr>
          <w:p w14:paraId="448DD5CC" w14:textId="77777777" w:rsidR="00FA3112" w:rsidRPr="00FA3112" w:rsidRDefault="00FA3112" w:rsidP="003337C0">
            <w:pPr>
              <w:spacing w:line="240" w:lineRule="auto"/>
              <w:jc w:val="left"/>
              <w:rPr>
                <w:sz w:val="18"/>
                <w:szCs w:val="18"/>
              </w:rPr>
            </w:pPr>
            <w:r w:rsidRPr="00FA3112">
              <w:rPr>
                <w:sz w:val="18"/>
                <w:szCs w:val="18"/>
              </w:rPr>
              <w:t>0.54 ± 0.18</w:t>
            </w:r>
          </w:p>
        </w:tc>
        <w:tc>
          <w:tcPr>
            <w:tcW w:w="1134" w:type="dxa"/>
            <w:tcBorders>
              <w:bottom w:val="nil"/>
            </w:tcBorders>
            <w:vAlign w:val="center"/>
          </w:tcPr>
          <w:p w14:paraId="104FD9C4" w14:textId="77777777" w:rsidR="00FA3112" w:rsidRPr="00FA3112" w:rsidRDefault="00FA3112" w:rsidP="003337C0">
            <w:pPr>
              <w:spacing w:line="240" w:lineRule="auto"/>
              <w:jc w:val="left"/>
              <w:rPr>
                <w:sz w:val="18"/>
                <w:szCs w:val="18"/>
                <w:lang w:val="en-US"/>
              </w:rPr>
            </w:pPr>
            <w:r w:rsidRPr="00FA3112">
              <w:rPr>
                <w:sz w:val="18"/>
                <w:szCs w:val="18"/>
              </w:rPr>
              <w:t>0.74 ± 0.46</w:t>
            </w:r>
          </w:p>
        </w:tc>
      </w:tr>
      <w:tr w:rsidR="00FA3112" w:rsidRPr="00FA3112" w14:paraId="4FC3E172" w14:textId="77777777" w:rsidTr="00FA3112">
        <w:tc>
          <w:tcPr>
            <w:tcW w:w="1276" w:type="dxa"/>
            <w:vMerge/>
          </w:tcPr>
          <w:p w14:paraId="5D787A3E" w14:textId="0676BC4B" w:rsidR="00FA3112" w:rsidRPr="00FA3112" w:rsidRDefault="00FA3112" w:rsidP="003337C0">
            <w:pPr>
              <w:spacing w:line="240" w:lineRule="auto"/>
              <w:jc w:val="left"/>
              <w:rPr>
                <w:sz w:val="18"/>
                <w:szCs w:val="18"/>
                <w:lang w:val="en-US"/>
              </w:rPr>
            </w:pPr>
          </w:p>
        </w:tc>
        <w:tc>
          <w:tcPr>
            <w:tcW w:w="5245" w:type="dxa"/>
            <w:tcBorders>
              <w:top w:val="nil"/>
              <w:bottom w:val="single" w:sz="4" w:space="0" w:color="auto"/>
            </w:tcBorders>
            <w:vAlign w:val="center"/>
          </w:tcPr>
          <w:p w14:paraId="602199F8" w14:textId="41928415" w:rsidR="00FA3112" w:rsidRPr="00FA3112" w:rsidRDefault="00FA3112" w:rsidP="003337C0">
            <w:pPr>
              <w:spacing w:line="240" w:lineRule="auto"/>
              <w:jc w:val="left"/>
              <w:rPr>
                <w:sz w:val="18"/>
                <w:szCs w:val="18"/>
                <w:lang w:val="en-US"/>
              </w:rPr>
            </w:pPr>
            <w:r w:rsidRPr="00FA3112">
              <w:rPr>
                <w:sz w:val="18"/>
                <w:szCs w:val="18"/>
                <w:lang w:val="en-US"/>
              </w:rPr>
              <w:t>Electric cars - 11 years lifetime</w:t>
            </w:r>
          </w:p>
        </w:tc>
        <w:tc>
          <w:tcPr>
            <w:tcW w:w="1134" w:type="dxa"/>
            <w:tcBorders>
              <w:top w:val="nil"/>
              <w:bottom w:val="single" w:sz="4" w:space="0" w:color="auto"/>
            </w:tcBorders>
            <w:vAlign w:val="center"/>
          </w:tcPr>
          <w:p w14:paraId="041CA706" w14:textId="77777777" w:rsidR="00FA3112" w:rsidRPr="00FA3112" w:rsidRDefault="00FA3112" w:rsidP="003337C0">
            <w:pPr>
              <w:spacing w:line="240" w:lineRule="auto"/>
              <w:jc w:val="left"/>
              <w:rPr>
                <w:sz w:val="18"/>
                <w:szCs w:val="18"/>
              </w:rPr>
            </w:pPr>
            <w:r w:rsidRPr="00FA3112">
              <w:rPr>
                <w:sz w:val="18"/>
                <w:szCs w:val="18"/>
              </w:rPr>
              <w:t>0.43 ± 0.10</w:t>
            </w:r>
          </w:p>
        </w:tc>
        <w:tc>
          <w:tcPr>
            <w:tcW w:w="1134" w:type="dxa"/>
            <w:tcBorders>
              <w:top w:val="nil"/>
              <w:bottom w:val="single" w:sz="4" w:space="0" w:color="auto"/>
            </w:tcBorders>
            <w:vAlign w:val="center"/>
          </w:tcPr>
          <w:p w14:paraId="5A40422E" w14:textId="77777777" w:rsidR="00FA3112" w:rsidRPr="00FA3112" w:rsidRDefault="00FA3112" w:rsidP="003337C0">
            <w:pPr>
              <w:spacing w:line="240" w:lineRule="auto"/>
              <w:jc w:val="left"/>
              <w:rPr>
                <w:sz w:val="18"/>
                <w:szCs w:val="18"/>
              </w:rPr>
            </w:pPr>
            <w:r w:rsidRPr="00FA3112">
              <w:rPr>
                <w:sz w:val="18"/>
                <w:szCs w:val="18"/>
              </w:rPr>
              <w:t>0.39 ± 0.06</w:t>
            </w:r>
          </w:p>
        </w:tc>
        <w:tc>
          <w:tcPr>
            <w:tcW w:w="1134" w:type="dxa"/>
            <w:tcBorders>
              <w:top w:val="nil"/>
              <w:bottom w:val="single" w:sz="4" w:space="0" w:color="auto"/>
            </w:tcBorders>
            <w:vAlign w:val="center"/>
          </w:tcPr>
          <w:p w14:paraId="6E37D6F8" w14:textId="77777777" w:rsidR="00FA3112" w:rsidRPr="00FA3112" w:rsidRDefault="00FA3112" w:rsidP="003337C0">
            <w:pPr>
              <w:spacing w:line="240" w:lineRule="auto"/>
              <w:jc w:val="left"/>
              <w:rPr>
                <w:sz w:val="18"/>
                <w:szCs w:val="18"/>
                <w:lang w:val="en-GB"/>
              </w:rPr>
            </w:pPr>
            <w:r w:rsidRPr="00FA3112">
              <w:rPr>
                <w:sz w:val="18"/>
                <w:szCs w:val="18"/>
              </w:rPr>
              <w:t>0.38 ± 0.05</w:t>
            </w:r>
          </w:p>
        </w:tc>
        <w:tc>
          <w:tcPr>
            <w:tcW w:w="1134" w:type="dxa"/>
            <w:tcBorders>
              <w:top w:val="nil"/>
              <w:bottom w:val="single" w:sz="4" w:space="0" w:color="auto"/>
            </w:tcBorders>
            <w:vAlign w:val="center"/>
          </w:tcPr>
          <w:p w14:paraId="6F3ED663" w14:textId="77777777" w:rsidR="00FA3112" w:rsidRPr="00FA3112" w:rsidRDefault="00FA3112" w:rsidP="003337C0">
            <w:pPr>
              <w:spacing w:line="240" w:lineRule="auto"/>
              <w:jc w:val="left"/>
              <w:rPr>
                <w:sz w:val="18"/>
                <w:szCs w:val="18"/>
                <w:lang w:val="en-US"/>
              </w:rPr>
            </w:pPr>
            <w:r w:rsidRPr="00FA3112">
              <w:rPr>
                <w:sz w:val="18"/>
                <w:szCs w:val="18"/>
              </w:rPr>
              <w:t>0.46 ± 0.19</w:t>
            </w:r>
          </w:p>
        </w:tc>
        <w:tc>
          <w:tcPr>
            <w:tcW w:w="1134" w:type="dxa"/>
            <w:tcBorders>
              <w:top w:val="nil"/>
              <w:bottom w:val="single" w:sz="4" w:space="0" w:color="auto"/>
            </w:tcBorders>
            <w:vAlign w:val="center"/>
          </w:tcPr>
          <w:p w14:paraId="58B37C30" w14:textId="77777777" w:rsidR="00FA3112" w:rsidRPr="00FA3112" w:rsidRDefault="00FA3112" w:rsidP="003337C0">
            <w:pPr>
              <w:spacing w:line="240" w:lineRule="auto"/>
              <w:jc w:val="left"/>
              <w:rPr>
                <w:sz w:val="18"/>
                <w:szCs w:val="18"/>
                <w:lang w:val="en-US"/>
              </w:rPr>
            </w:pPr>
            <w:r w:rsidRPr="00FA3112">
              <w:rPr>
                <w:sz w:val="18"/>
                <w:szCs w:val="18"/>
              </w:rPr>
              <w:t>0.41 ± 0.12</w:t>
            </w:r>
          </w:p>
        </w:tc>
        <w:tc>
          <w:tcPr>
            <w:tcW w:w="1134" w:type="dxa"/>
            <w:tcBorders>
              <w:top w:val="nil"/>
              <w:bottom w:val="single" w:sz="4" w:space="0" w:color="auto"/>
            </w:tcBorders>
            <w:vAlign w:val="center"/>
          </w:tcPr>
          <w:p w14:paraId="78B030C0" w14:textId="77777777" w:rsidR="00FA3112" w:rsidRPr="00FA3112" w:rsidRDefault="00FA3112" w:rsidP="003337C0">
            <w:pPr>
              <w:spacing w:line="240" w:lineRule="auto"/>
              <w:jc w:val="left"/>
              <w:rPr>
                <w:sz w:val="18"/>
                <w:szCs w:val="18"/>
                <w:lang w:val="en-GB"/>
              </w:rPr>
            </w:pPr>
            <w:r w:rsidRPr="00FA3112">
              <w:rPr>
                <w:sz w:val="18"/>
                <w:szCs w:val="18"/>
              </w:rPr>
              <w:t>0.38 ± 0.12</w:t>
            </w:r>
          </w:p>
        </w:tc>
        <w:tc>
          <w:tcPr>
            <w:tcW w:w="1134" w:type="dxa"/>
            <w:tcBorders>
              <w:top w:val="nil"/>
              <w:bottom w:val="single" w:sz="4" w:space="0" w:color="auto"/>
            </w:tcBorders>
            <w:vAlign w:val="center"/>
          </w:tcPr>
          <w:p w14:paraId="1A4B247F" w14:textId="77777777" w:rsidR="00FA3112" w:rsidRPr="00FA3112" w:rsidRDefault="00FA3112" w:rsidP="003337C0">
            <w:pPr>
              <w:spacing w:line="240" w:lineRule="auto"/>
              <w:jc w:val="left"/>
              <w:rPr>
                <w:sz w:val="18"/>
                <w:szCs w:val="18"/>
              </w:rPr>
            </w:pPr>
            <w:r w:rsidRPr="00FA3112">
              <w:rPr>
                <w:sz w:val="18"/>
                <w:szCs w:val="18"/>
              </w:rPr>
              <w:t>0.51 ± 0.30</w:t>
            </w:r>
          </w:p>
        </w:tc>
      </w:tr>
      <w:tr w:rsidR="00FA3112" w:rsidRPr="00FA3112" w14:paraId="50D7057C" w14:textId="77777777" w:rsidTr="00FA3112">
        <w:tc>
          <w:tcPr>
            <w:tcW w:w="1276" w:type="dxa"/>
            <w:vMerge/>
            <w:shd w:val="clear" w:color="auto" w:fill="D9D9D9" w:themeFill="background1" w:themeFillShade="D9"/>
          </w:tcPr>
          <w:p w14:paraId="1BED487F" w14:textId="77777777" w:rsidR="00FA3112" w:rsidRPr="00FA3112" w:rsidRDefault="00FA3112" w:rsidP="003337C0">
            <w:pPr>
              <w:spacing w:line="240" w:lineRule="auto"/>
              <w:jc w:val="left"/>
              <w:rPr>
                <w:sz w:val="18"/>
                <w:szCs w:val="18"/>
                <w:lang w:val="en-US"/>
              </w:rPr>
            </w:pPr>
          </w:p>
        </w:tc>
        <w:tc>
          <w:tcPr>
            <w:tcW w:w="5245" w:type="dxa"/>
            <w:tcBorders>
              <w:bottom w:val="nil"/>
            </w:tcBorders>
            <w:shd w:val="clear" w:color="auto" w:fill="D9D9D9" w:themeFill="background1" w:themeFillShade="D9"/>
            <w:vAlign w:val="center"/>
          </w:tcPr>
          <w:p w14:paraId="28ACACEE" w14:textId="43ADD8B7" w:rsidR="00FA3112" w:rsidRPr="00FA3112" w:rsidRDefault="00FA3112" w:rsidP="003337C0">
            <w:pPr>
              <w:spacing w:line="240" w:lineRule="auto"/>
              <w:jc w:val="left"/>
              <w:rPr>
                <w:sz w:val="18"/>
                <w:szCs w:val="18"/>
                <w:lang w:val="en-US"/>
              </w:rPr>
            </w:pPr>
            <w:r>
              <w:rPr>
                <w:sz w:val="18"/>
                <w:szCs w:val="18"/>
                <w:lang w:val="en-US"/>
              </w:rPr>
              <w:t>P</w:t>
            </w:r>
            <w:r w:rsidRPr="00FA3112">
              <w:rPr>
                <w:sz w:val="18"/>
                <w:szCs w:val="18"/>
                <w:lang w:val="en-US"/>
              </w:rPr>
              <w:t>lug-in hybrid cars - 6 years lifetime</w:t>
            </w:r>
          </w:p>
        </w:tc>
        <w:tc>
          <w:tcPr>
            <w:tcW w:w="1134" w:type="dxa"/>
            <w:tcBorders>
              <w:bottom w:val="nil"/>
            </w:tcBorders>
            <w:shd w:val="clear" w:color="auto" w:fill="D9D9D9" w:themeFill="background1" w:themeFillShade="D9"/>
            <w:vAlign w:val="center"/>
          </w:tcPr>
          <w:p w14:paraId="0372EA20" w14:textId="77777777" w:rsidR="00FA3112" w:rsidRPr="00FA3112" w:rsidRDefault="00FA3112" w:rsidP="003337C0">
            <w:pPr>
              <w:spacing w:line="240" w:lineRule="auto"/>
              <w:jc w:val="left"/>
              <w:rPr>
                <w:sz w:val="18"/>
                <w:szCs w:val="18"/>
                <w:lang w:val="en-US"/>
              </w:rPr>
            </w:pPr>
            <w:r w:rsidRPr="00FA3112">
              <w:rPr>
                <w:sz w:val="18"/>
                <w:szCs w:val="18"/>
                <w:lang w:val="en-US"/>
              </w:rPr>
              <w:t>-</w:t>
            </w:r>
          </w:p>
        </w:tc>
        <w:tc>
          <w:tcPr>
            <w:tcW w:w="1134" w:type="dxa"/>
            <w:tcBorders>
              <w:bottom w:val="nil"/>
            </w:tcBorders>
            <w:shd w:val="clear" w:color="auto" w:fill="D9D9D9" w:themeFill="background1" w:themeFillShade="D9"/>
            <w:vAlign w:val="center"/>
          </w:tcPr>
          <w:p w14:paraId="6A8C81EC" w14:textId="77777777" w:rsidR="00FA3112" w:rsidRPr="00FA3112" w:rsidRDefault="00FA3112" w:rsidP="003337C0">
            <w:pPr>
              <w:spacing w:line="240" w:lineRule="auto"/>
              <w:jc w:val="left"/>
              <w:rPr>
                <w:sz w:val="18"/>
                <w:szCs w:val="18"/>
                <w:lang w:val="en-US"/>
              </w:rPr>
            </w:pPr>
            <w:r w:rsidRPr="00FA3112">
              <w:rPr>
                <w:sz w:val="18"/>
                <w:szCs w:val="18"/>
              </w:rPr>
              <w:t>0.76</w:t>
            </w:r>
            <w:r w:rsidRPr="00FA3112">
              <w:rPr>
                <w:sz w:val="18"/>
                <w:szCs w:val="18"/>
                <w:vertAlign w:val="superscript"/>
              </w:rPr>
              <w:t>a</w:t>
            </w:r>
          </w:p>
        </w:tc>
        <w:tc>
          <w:tcPr>
            <w:tcW w:w="1134" w:type="dxa"/>
            <w:tcBorders>
              <w:bottom w:val="nil"/>
            </w:tcBorders>
            <w:shd w:val="clear" w:color="auto" w:fill="D9D9D9" w:themeFill="background1" w:themeFillShade="D9"/>
            <w:vAlign w:val="center"/>
          </w:tcPr>
          <w:p w14:paraId="2B6132B2" w14:textId="77777777" w:rsidR="00FA3112" w:rsidRPr="00FA3112" w:rsidRDefault="00FA3112" w:rsidP="003337C0">
            <w:pPr>
              <w:spacing w:line="240" w:lineRule="auto"/>
              <w:jc w:val="left"/>
              <w:rPr>
                <w:sz w:val="18"/>
                <w:szCs w:val="18"/>
                <w:lang w:val="en-US"/>
              </w:rPr>
            </w:pPr>
            <w:r w:rsidRPr="00FA3112">
              <w:rPr>
                <w:sz w:val="18"/>
                <w:szCs w:val="18"/>
              </w:rPr>
              <w:t>0.71 ± 0.10</w:t>
            </w:r>
          </w:p>
        </w:tc>
        <w:tc>
          <w:tcPr>
            <w:tcW w:w="1134" w:type="dxa"/>
            <w:tcBorders>
              <w:bottom w:val="nil"/>
            </w:tcBorders>
            <w:shd w:val="clear" w:color="auto" w:fill="D9D9D9" w:themeFill="background1" w:themeFillShade="D9"/>
            <w:vAlign w:val="center"/>
          </w:tcPr>
          <w:p w14:paraId="4AE2A916" w14:textId="77777777" w:rsidR="00FA3112" w:rsidRPr="00FA3112" w:rsidRDefault="00FA3112" w:rsidP="003337C0">
            <w:pPr>
              <w:spacing w:line="240" w:lineRule="auto"/>
              <w:jc w:val="left"/>
              <w:rPr>
                <w:sz w:val="18"/>
                <w:szCs w:val="18"/>
                <w:lang w:val="en-US"/>
              </w:rPr>
            </w:pPr>
            <w:r w:rsidRPr="00FA3112">
              <w:rPr>
                <w:sz w:val="18"/>
                <w:szCs w:val="18"/>
              </w:rPr>
              <w:t>0.95 ± 0.56</w:t>
            </w:r>
          </w:p>
        </w:tc>
        <w:tc>
          <w:tcPr>
            <w:tcW w:w="1134" w:type="dxa"/>
            <w:tcBorders>
              <w:bottom w:val="nil"/>
            </w:tcBorders>
            <w:shd w:val="clear" w:color="auto" w:fill="D9D9D9" w:themeFill="background1" w:themeFillShade="D9"/>
            <w:vAlign w:val="center"/>
          </w:tcPr>
          <w:p w14:paraId="747D8356" w14:textId="77777777" w:rsidR="00FA3112" w:rsidRPr="00FA3112" w:rsidRDefault="00FA3112" w:rsidP="003337C0">
            <w:pPr>
              <w:spacing w:line="240" w:lineRule="auto"/>
              <w:jc w:val="left"/>
              <w:rPr>
                <w:sz w:val="18"/>
                <w:szCs w:val="18"/>
                <w:lang w:val="en-US"/>
              </w:rPr>
            </w:pPr>
            <w:r w:rsidRPr="00FA3112">
              <w:rPr>
                <w:sz w:val="18"/>
                <w:szCs w:val="18"/>
                <w:lang w:val="en-US"/>
              </w:rPr>
              <w:t xml:space="preserve">1.12 </w:t>
            </w:r>
            <w:r w:rsidRPr="00FA3112">
              <w:rPr>
                <w:sz w:val="18"/>
                <w:szCs w:val="18"/>
              </w:rPr>
              <w:t>± 0.53</w:t>
            </w:r>
          </w:p>
        </w:tc>
        <w:tc>
          <w:tcPr>
            <w:tcW w:w="1134" w:type="dxa"/>
            <w:tcBorders>
              <w:bottom w:val="nil"/>
            </w:tcBorders>
            <w:shd w:val="clear" w:color="auto" w:fill="D9D9D9" w:themeFill="background1" w:themeFillShade="D9"/>
            <w:vAlign w:val="center"/>
          </w:tcPr>
          <w:p w14:paraId="0E246BFD" w14:textId="77777777" w:rsidR="00FA3112" w:rsidRPr="00FA3112" w:rsidRDefault="00FA3112" w:rsidP="003337C0">
            <w:pPr>
              <w:spacing w:line="240" w:lineRule="auto"/>
              <w:jc w:val="left"/>
              <w:rPr>
                <w:sz w:val="18"/>
                <w:szCs w:val="18"/>
                <w:lang w:val="en-US"/>
              </w:rPr>
            </w:pPr>
            <w:r w:rsidRPr="00FA3112">
              <w:rPr>
                <w:sz w:val="18"/>
                <w:szCs w:val="18"/>
                <w:lang w:val="en-US"/>
              </w:rPr>
              <w:t xml:space="preserve">1.09 </w:t>
            </w:r>
            <w:r w:rsidRPr="00FA3112">
              <w:rPr>
                <w:sz w:val="18"/>
                <w:szCs w:val="18"/>
              </w:rPr>
              <w:t>± 0.42</w:t>
            </w:r>
          </w:p>
        </w:tc>
        <w:tc>
          <w:tcPr>
            <w:tcW w:w="1134" w:type="dxa"/>
            <w:tcBorders>
              <w:bottom w:val="nil"/>
            </w:tcBorders>
            <w:shd w:val="clear" w:color="auto" w:fill="D9D9D9" w:themeFill="background1" w:themeFillShade="D9"/>
            <w:vAlign w:val="center"/>
          </w:tcPr>
          <w:p w14:paraId="264F720C" w14:textId="77777777" w:rsidR="00FA3112" w:rsidRPr="00FA3112" w:rsidRDefault="00FA3112" w:rsidP="003337C0">
            <w:pPr>
              <w:spacing w:line="240" w:lineRule="auto"/>
              <w:jc w:val="left"/>
              <w:rPr>
                <w:sz w:val="18"/>
                <w:szCs w:val="18"/>
                <w:lang w:val="en-US"/>
              </w:rPr>
            </w:pPr>
            <w:r w:rsidRPr="00FA3112">
              <w:rPr>
                <w:sz w:val="18"/>
                <w:szCs w:val="18"/>
                <w:lang w:val="en-US"/>
              </w:rPr>
              <w:t xml:space="preserve">1.06 </w:t>
            </w:r>
            <w:r w:rsidRPr="00FA3112">
              <w:rPr>
                <w:sz w:val="18"/>
                <w:szCs w:val="18"/>
              </w:rPr>
              <w:t>± 0.41</w:t>
            </w:r>
          </w:p>
        </w:tc>
      </w:tr>
      <w:tr w:rsidR="00FA3112" w:rsidRPr="00FA3112" w14:paraId="04694D99" w14:textId="77777777" w:rsidTr="00FA3112">
        <w:tc>
          <w:tcPr>
            <w:tcW w:w="1276" w:type="dxa"/>
            <w:vMerge/>
            <w:shd w:val="clear" w:color="auto" w:fill="D9D9D9" w:themeFill="background1" w:themeFillShade="D9"/>
          </w:tcPr>
          <w:p w14:paraId="00D13978" w14:textId="77777777" w:rsidR="00FA3112" w:rsidRPr="00FA3112" w:rsidRDefault="00FA3112" w:rsidP="003337C0">
            <w:pPr>
              <w:spacing w:line="240" w:lineRule="auto"/>
              <w:jc w:val="left"/>
              <w:rPr>
                <w:sz w:val="18"/>
                <w:szCs w:val="18"/>
                <w:lang w:val="en-US"/>
              </w:rPr>
            </w:pPr>
          </w:p>
        </w:tc>
        <w:tc>
          <w:tcPr>
            <w:tcW w:w="5245" w:type="dxa"/>
            <w:tcBorders>
              <w:top w:val="nil"/>
              <w:bottom w:val="single" w:sz="4" w:space="0" w:color="auto"/>
            </w:tcBorders>
            <w:shd w:val="clear" w:color="auto" w:fill="D9D9D9" w:themeFill="background1" w:themeFillShade="D9"/>
            <w:vAlign w:val="center"/>
          </w:tcPr>
          <w:p w14:paraId="63FA38B1" w14:textId="40C718A2" w:rsidR="00FA3112" w:rsidRPr="00FA3112" w:rsidRDefault="00FA3112" w:rsidP="003337C0">
            <w:pPr>
              <w:spacing w:line="240" w:lineRule="auto"/>
              <w:jc w:val="left"/>
              <w:rPr>
                <w:sz w:val="18"/>
                <w:szCs w:val="18"/>
                <w:lang w:val="en-US"/>
              </w:rPr>
            </w:pPr>
            <w:r>
              <w:rPr>
                <w:sz w:val="18"/>
                <w:szCs w:val="18"/>
                <w:lang w:val="en-US"/>
              </w:rPr>
              <w:t>P</w:t>
            </w:r>
            <w:r w:rsidRPr="00FA3112">
              <w:rPr>
                <w:sz w:val="18"/>
                <w:szCs w:val="18"/>
                <w:lang w:val="en-US"/>
              </w:rPr>
              <w:t xml:space="preserve">lug-in hybrid cars - 11 years lifetime </w:t>
            </w:r>
          </w:p>
        </w:tc>
        <w:tc>
          <w:tcPr>
            <w:tcW w:w="1134" w:type="dxa"/>
            <w:tcBorders>
              <w:top w:val="nil"/>
              <w:bottom w:val="single" w:sz="4" w:space="0" w:color="auto"/>
            </w:tcBorders>
            <w:shd w:val="clear" w:color="auto" w:fill="D9D9D9" w:themeFill="background1" w:themeFillShade="D9"/>
            <w:vAlign w:val="center"/>
          </w:tcPr>
          <w:p w14:paraId="115DC58E" w14:textId="77777777" w:rsidR="00FA3112" w:rsidRPr="00FA3112" w:rsidRDefault="00FA3112" w:rsidP="003337C0">
            <w:pPr>
              <w:spacing w:line="240" w:lineRule="auto"/>
              <w:jc w:val="left"/>
              <w:rPr>
                <w:sz w:val="18"/>
                <w:szCs w:val="18"/>
                <w:lang w:val="en-US"/>
              </w:rPr>
            </w:pPr>
            <w:r w:rsidRPr="00FA3112">
              <w:rPr>
                <w:sz w:val="18"/>
                <w:szCs w:val="18"/>
                <w:lang w:val="en-US"/>
              </w:rPr>
              <w:t>-</w:t>
            </w:r>
          </w:p>
        </w:tc>
        <w:tc>
          <w:tcPr>
            <w:tcW w:w="1134" w:type="dxa"/>
            <w:tcBorders>
              <w:top w:val="nil"/>
              <w:bottom w:val="single" w:sz="4" w:space="0" w:color="auto"/>
            </w:tcBorders>
            <w:shd w:val="clear" w:color="auto" w:fill="D9D9D9" w:themeFill="background1" w:themeFillShade="D9"/>
            <w:vAlign w:val="center"/>
          </w:tcPr>
          <w:p w14:paraId="5570979A" w14:textId="77777777" w:rsidR="00FA3112" w:rsidRPr="00FA3112" w:rsidRDefault="00FA3112" w:rsidP="003337C0">
            <w:pPr>
              <w:spacing w:line="240" w:lineRule="auto"/>
              <w:jc w:val="left"/>
              <w:rPr>
                <w:sz w:val="18"/>
                <w:szCs w:val="18"/>
              </w:rPr>
            </w:pPr>
            <w:r w:rsidRPr="00FA3112">
              <w:rPr>
                <w:sz w:val="18"/>
                <w:szCs w:val="18"/>
              </w:rPr>
              <w:t>0.53</w:t>
            </w:r>
            <w:r w:rsidRPr="00FA3112">
              <w:rPr>
                <w:sz w:val="18"/>
                <w:szCs w:val="18"/>
                <w:vertAlign w:val="superscript"/>
              </w:rPr>
              <w:t>a</w:t>
            </w:r>
          </w:p>
        </w:tc>
        <w:tc>
          <w:tcPr>
            <w:tcW w:w="1134" w:type="dxa"/>
            <w:tcBorders>
              <w:top w:val="nil"/>
              <w:bottom w:val="single" w:sz="4" w:space="0" w:color="auto"/>
            </w:tcBorders>
            <w:shd w:val="clear" w:color="auto" w:fill="D9D9D9" w:themeFill="background1" w:themeFillShade="D9"/>
            <w:vAlign w:val="center"/>
          </w:tcPr>
          <w:p w14:paraId="5B74BF91" w14:textId="77777777" w:rsidR="00FA3112" w:rsidRPr="00FA3112" w:rsidRDefault="00FA3112" w:rsidP="003337C0">
            <w:pPr>
              <w:spacing w:line="240" w:lineRule="auto"/>
              <w:jc w:val="left"/>
              <w:rPr>
                <w:sz w:val="18"/>
                <w:szCs w:val="18"/>
              </w:rPr>
            </w:pPr>
            <w:r w:rsidRPr="00FA3112">
              <w:rPr>
                <w:sz w:val="18"/>
                <w:szCs w:val="18"/>
              </w:rPr>
              <w:t>0.50 ± 0.06</w:t>
            </w:r>
          </w:p>
        </w:tc>
        <w:tc>
          <w:tcPr>
            <w:tcW w:w="1134" w:type="dxa"/>
            <w:tcBorders>
              <w:top w:val="nil"/>
              <w:bottom w:val="single" w:sz="4" w:space="0" w:color="auto"/>
            </w:tcBorders>
            <w:shd w:val="clear" w:color="auto" w:fill="D9D9D9" w:themeFill="background1" w:themeFillShade="D9"/>
            <w:vAlign w:val="center"/>
          </w:tcPr>
          <w:p w14:paraId="28E6089A" w14:textId="77777777" w:rsidR="00FA3112" w:rsidRPr="00FA3112" w:rsidRDefault="00FA3112" w:rsidP="003337C0">
            <w:pPr>
              <w:spacing w:line="240" w:lineRule="auto"/>
              <w:jc w:val="left"/>
              <w:rPr>
                <w:sz w:val="18"/>
                <w:szCs w:val="18"/>
                <w:lang w:val="en-US"/>
              </w:rPr>
            </w:pPr>
            <w:r w:rsidRPr="00FA3112">
              <w:rPr>
                <w:sz w:val="18"/>
                <w:szCs w:val="18"/>
              </w:rPr>
              <w:t>0.67 ± 0.38</w:t>
            </w:r>
          </w:p>
        </w:tc>
        <w:tc>
          <w:tcPr>
            <w:tcW w:w="1134" w:type="dxa"/>
            <w:tcBorders>
              <w:top w:val="nil"/>
              <w:bottom w:val="single" w:sz="4" w:space="0" w:color="auto"/>
            </w:tcBorders>
            <w:shd w:val="clear" w:color="auto" w:fill="D9D9D9" w:themeFill="background1" w:themeFillShade="D9"/>
            <w:vAlign w:val="center"/>
          </w:tcPr>
          <w:p w14:paraId="1BE4B724" w14:textId="77777777" w:rsidR="00FA3112" w:rsidRPr="00FA3112" w:rsidRDefault="00FA3112" w:rsidP="003337C0">
            <w:pPr>
              <w:spacing w:line="240" w:lineRule="auto"/>
              <w:jc w:val="left"/>
              <w:rPr>
                <w:sz w:val="18"/>
                <w:szCs w:val="18"/>
                <w:lang w:val="en-US"/>
              </w:rPr>
            </w:pPr>
            <w:r w:rsidRPr="00FA3112">
              <w:rPr>
                <w:sz w:val="18"/>
                <w:szCs w:val="18"/>
              </w:rPr>
              <w:t>0.78 ± 0.34</w:t>
            </w:r>
          </w:p>
        </w:tc>
        <w:tc>
          <w:tcPr>
            <w:tcW w:w="1134" w:type="dxa"/>
            <w:tcBorders>
              <w:top w:val="nil"/>
              <w:bottom w:val="single" w:sz="4" w:space="0" w:color="auto"/>
            </w:tcBorders>
            <w:shd w:val="clear" w:color="auto" w:fill="D9D9D9" w:themeFill="background1" w:themeFillShade="D9"/>
            <w:vAlign w:val="center"/>
          </w:tcPr>
          <w:p w14:paraId="3052A696" w14:textId="77777777" w:rsidR="00FA3112" w:rsidRPr="00FA3112" w:rsidRDefault="00FA3112" w:rsidP="003337C0">
            <w:pPr>
              <w:spacing w:line="240" w:lineRule="auto"/>
              <w:jc w:val="left"/>
              <w:rPr>
                <w:sz w:val="18"/>
                <w:szCs w:val="18"/>
                <w:lang w:val="en-GB"/>
              </w:rPr>
            </w:pPr>
            <w:r w:rsidRPr="00FA3112">
              <w:rPr>
                <w:sz w:val="18"/>
                <w:szCs w:val="18"/>
              </w:rPr>
              <w:t>0.77 ± 0.28</w:t>
            </w:r>
          </w:p>
        </w:tc>
        <w:tc>
          <w:tcPr>
            <w:tcW w:w="1134" w:type="dxa"/>
            <w:tcBorders>
              <w:top w:val="nil"/>
              <w:bottom w:val="single" w:sz="4" w:space="0" w:color="auto"/>
            </w:tcBorders>
            <w:shd w:val="clear" w:color="auto" w:fill="D9D9D9" w:themeFill="background1" w:themeFillShade="D9"/>
            <w:vAlign w:val="center"/>
          </w:tcPr>
          <w:p w14:paraId="6DCD9F68" w14:textId="77777777" w:rsidR="00FA3112" w:rsidRPr="00FA3112" w:rsidRDefault="00FA3112" w:rsidP="003337C0">
            <w:pPr>
              <w:spacing w:line="240" w:lineRule="auto"/>
              <w:jc w:val="left"/>
              <w:rPr>
                <w:sz w:val="18"/>
                <w:szCs w:val="18"/>
                <w:lang w:val="en-GB"/>
              </w:rPr>
            </w:pPr>
            <w:r w:rsidRPr="00FA3112">
              <w:rPr>
                <w:sz w:val="18"/>
                <w:szCs w:val="18"/>
              </w:rPr>
              <w:t>0.75 ± 0.27</w:t>
            </w:r>
          </w:p>
        </w:tc>
      </w:tr>
      <w:tr w:rsidR="00FA3112" w:rsidRPr="00FA3112" w14:paraId="5F603589" w14:textId="77777777" w:rsidTr="00FA3112">
        <w:tc>
          <w:tcPr>
            <w:tcW w:w="1276" w:type="dxa"/>
            <w:vMerge/>
          </w:tcPr>
          <w:p w14:paraId="22BB388C" w14:textId="77777777" w:rsidR="00FA3112" w:rsidRPr="00FA3112" w:rsidRDefault="00FA3112" w:rsidP="003337C0">
            <w:pPr>
              <w:spacing w:line="240" w:lineRule="auto"/>
              <w:jc w:val="left"/>
              <w:rPr>
                <w:sz w:val="18"/>
                <w:szCs w:val="18"/>
                <w:lang w:val="en-US"/>
              </w:rPr>
            </w:pPr>
          </w:p>
        </w:tc>
        <w:tc>
          <w:tcPr>
            <w:tcW w:w="5245" w:type="dxa"/>
            <w:tcBorders>
              <w:bottom w:val="nil"/>
            </w:tcBorders>
            <w:vAlign w:val="center"/>
          </w:tcPr>
          <w:p w14:paraId="56D2A0F3" w14:textId="02BD0F08" w:rsidR="00FA3112" w:rsidRPr="00FA3112" w:rsidRDefault="00FA3112" w:rsidP="003337C0">
            <w:pPr>
              <w:spacing w:line="240" w:lineRule="auto"/>
              <w:jc w:val="left"/>
              <w:rPr>
                <w:sz w:val="18"/>
                <w:szCs w:val="18"/>
                <w:lang w:val="en-US"/>
              </w:rPr>
            </w:pPr>
            <w:r w:rsidRPr="00FA3112">
              <w:rPr>
                <w:sz w:val="18"/>
                <w:szCs w:val="18"/>
                <w:lang w:val="en-US"/>
              </w:rPr>
              <w:t xml:space="preserve">Conventional cars, comparable to electric cars - 6 years lifetime </w:t>
            </w:r>
          </w:p>
        </w:tc>
        <w:tc>
          <w:tcPr>
            <w:tcW w:w="1134" w:type="dxa"/>
            <w:tcBorders>
              <w:bottom w:val="nil"/>
            </w:tcBorders>
            <w:vAlign w:val="center"/>
          </w:tcPr>
          <w:p w14:paraId="69757739" w14:textId="77777777" w:rsidR="00FA3112" w:rsidRPr="00FA3112" w:rsidRDefault="00FA3112" w:rsidP="003337C0">
            <w:pPr>
              <w:spacing w:line="240" w:lineRule="auto"/>
              <w:jc w:val="left"/>
              <w:rPr>
                <w:sz w:val="18"/>
                <w:szCs w:val="18"/>
                <w:lang w:val="en-US"/>
              </w:rPr>
            </w:pPr>
            <w:r w:rsidRPr="00FA3112">
              <w:rPr>
                <w:sz w:val="18"/>
                <w:szCs w:val="18"/>
              </w:rPr>
              <w:t>0.31 ± 0.04</w:t>
            </w:r>
          </w:p>
        </w:tc>
        <w:tc>
          <w:tcPr>
            <w:tcW w:w="1134" w:type="dxa"/>
            <w:tcBorders>
              <w:bottom w:val="nil"/>
            </w:tcBorders>
            <w:vAlign w:val="center"/>
          </w:tcPr>
          <w:p w14:paraId="5A6BA397" w14:textId="77777777" w:rsidR="00FA3112" w:rsidRPr="00FA3112" w:rsidRDefault="00FA3112" w:rsidP="003337C0">
            <w:pPr>
              <w:spacing w:line="240" w:lineRule="auto"/>
              <w:jc w:val="left"/>
              <w:rPr>
                <w:sz w:val="18"/>
                <w:szCs w:val="18"/>
                <w:lang w:val="en-US"/>
              </w:rPr>
            </w:pPr>
            <w:r w:rsidRPr="00FA3112">
              <w:rPr>
                <w:sz w:val="18"/>
                <w:szCs w:val="18"/>
              </w:rPr>
              <w:t>0.31 ± 0.04</w:t>
            </w:r>
          </w:p>
        </w:tc>
        <w:tc>
          <w:tcPr>
            <w:tcW w:w="1134" w:type="dxa"/>
            <w:tcBorders>
              <w:bottom w:val="nil"/>
            </w:tcBorders>
            <w:vAlign w:val="center"/>
          </w:tcPr>
          <w:p w14:paraId="6E6FC88C" w14:textId="77777777" w:rsidR="00FA3112" w:rsidRPr="00FA3112" w:rsidRDefault="00FA3112" w:rsidP="003337C0">
            <w:pPr>
              <w:spacing w:line="240" w:lineRule="auto"/>
              <w:jc w:val="left"/>
              <w:rPr>
                <w:sz w:val="18"/>
                <w:szCs w:val="18"/>
                <w:lang w:val="en-US"/>
              </w:rPr>
            </w:pPr>
            <w:r w:rsidRPr="00FA3112">
              <w:rPr>
                <w:sz w:val="18"/>
                <w:szCs w:val="18"/>
              </w:rPr>
              <w:t>0.33 ± 0.06</w:t>
            </w:r>
          </w:p>
        </w:tc>
        <w:tc>
          <w:tcPr>
            <w:tcW w:w="1134" w:type="dxa"/>
            <w:tcBorders>
              <w:bottom w:val="nil"/>
            </w:tcBorders>
            <w:vAlign w:val="center"/>
          </w:tcPr>
          <w:p w14:paraId="516D83E4" w14:textId="77777777" w:rsidR="00FA3112" w:rsidRPr="00FA3112" w:rsidRDefault="00FA3112" w:rsidP="003337C0">
            <w:pPr>
              <w:spacing w:line="240" w:lineRule="auto"/>
              <w:jc w:val="left"/>
              <w:rPr>
                <w:sz w:val="18"/>
                <w:szCs w:val="18"/>
                <w:lang w:val="en-US"/>
              </w:rPr>
            </w:pPr>
            <w:r w:rsidRPr="00FA3112">
              <w:rPr>
                <w:sz w:val="18"/>
                <w:szCs w:val="18"/>
              </w:rPr>
              <w:t>0.45 ± 0.22</w:t>
            </w:r>
          </w:p>
        </w:tc>
        <w:tc>
          <w:tcPr>
            <w:tcW w:w="1134" w:type="dxa"/>
            <w:tcBorders>
              <w:bottom w:val="nil"/>
            </w:tcBorders>
            <w:vAlign w:val="center"/>
          </w:tcPr>
          <w:p w14:paraId="7169A45B" w14:textId="77777777" w:rsidR="00FA3112" w:rsidRPr="00FA3112" w:rsidRDefault="00FA3112" w:rsidP="003337C0">
            <w:pPr>
              <w:spacing w:line="240" w:lineRule="auto"/>
              <w:jc w:val="left"/>
              <w:rPr>
                <w:sz w:val="18"/>
                <w:szCs w:val="18"/>
                <w:lang w:val="en-US"/>
              </w:rPr>
            </w:pPr>
            <w:r w:rsidRPr="00FA3112">
              <w:rPr>
                <w:sz w:val="18"/>
                <w:szCs w:val="18"/>
              </w:rPr>
              <w:t>0.45 ± 0.18</w:t>
            </w:r>
          </w:p>
        </w:tc>
        <w:tc>
          <w:tcPr>
            <w:tcW w:w="1134" w:type="dxa"/>
            <w:tcBorders>
              <w:bottom w:val="nil"/>
            </w:tcBorders>
            <w:vAlign w:val="center"/>
          </w:tcPr>
          <w:p w14:paraId="7CD331CA" w14:textId="77777777" w:rsidR="00FA3112" w:rsidRPr="00FA3112" w:rsidRDefault="00FA3112" w:rsidP="003337C0">
            <w:pPr>
              <w:spacing w:line="240" w:lineRule="auto"/>
              <w:jc w:val="left"/>
              <w:rPr>
                <w:sz w:val="18"/>
                <w:szCs w:val="18"/>
                <w:lang w:val="en-US"/>
              </w:rPr>
            </w:pPr>
            <w:r w:rsidRPr="00FA3112">
              <w:rPr>
                <w:sz w:val="18"/>
                <w:szCs w:val="18"/>
              </w:rPr>
              <w:t>0.44 ± 0.17</w:t>
            </w:r>
          </w:p>
        </w:tc>
        <w:tc>
          <w:tcPr>
            <w:tcW w:w="1134" w:type="dxa"/>
            <w:tcBorders>
              <w:bottom w:val="nil"/>
            </w:tcBorders>
            <w:vAlign w:val="center"/>
          </w:tcPr>
          <w:p w14:paraId="4D2A0074" w14:textId="77777777" w:rsidR="00FA3112" w:rsidRPr="00FA3112" w:rsidRDefault="00FA3112" w:rsidP="003337C0">
            <w:pPr>
              <w:spacing w:line="240" w:lineRule="auto"/>
              <w:jc w:val="left"/>
              <w:rPr>
                <w:sz w:val="18"/>
                <w:szCs w:val="18"/>
                <w:lang w:val="en-US"/>
              </w:rPr>
            </w:pPr>
            <w:r w:rsidRPr="00FA3112">
              <w:rPr>
                <w:sz w:val="18"/>
                <w:szCs w:val="18"/>
                <w:lang w:val="en-US"/>
              </w:rPr>
              <w:t xml:space="preserve">0.61 </w:t>
            </w:r>
            <w:r w:rsidRPr="00FA3112">
              <w:rPr>
                <w:sz w:val="18"/>
                <w:szCs w:val="18"/>
              </w:rPr>
              <w:t>± 0.40</w:t>
            </w:r>
          </w:p>
        </w:tc>
      </w:tr>
      <w:tr w:rsidR="00FA3112" w:rsidRPr="00FA3112" w14:paraId="6D522325" w14:textId="77777777" w:rsidTr="00FA3112">
        <w:tc>
          <w:tcPr>
            <w:tcW w:w="1276" w:type="dxa"/>
            <w:vMerge/>
          </w:tcPr>
          <w:p w14:paraId="3C559958" w14:textId="77777777" w:rsidR="00FA3112" w:rsidRPr="00FA3112" w:rsidRDefault="00FA3112" w:rsidP="003337C0">
            <w:pPr>
              <w:spacing w:line="240" w:lineRule="auto"/>
              <w:jc w:val="left"/>
              <w:rPr>
                <w:sz w:val="18"/>
                <w:szCs w:val="18"/>
                <w:lang w:val="en-US"/>
              </w:rPr>
            </w:pPr>
          </w:p>
        </w:tc>
        <w:tc>
          <w:tcPr>
            <w:tcW w:w="5245" w:type="dxa"/>
            <w:tcBorders>
              <w:top w:val="nil"/>
              <w:bottom w:val="single" w:sz="4" w:space="0" w:color="auto"/>
            </w:tcBorders>
            <w:vAlign w:val="center"/>
          </w:tcPr>
          <w:p w14:paraId="08F2A8FB" w14:textId="10703DC1" w:rsidR="00FA3112" w:rsidRPr="00FA3112" w:rsidRDefault="00FA3112" w:rsidP="003337C0">
            <w:pPr>
              <w:spacing w:line="240" w:lineRule="auto"/>
              <w:jc w:val="left"/>
              <w:rPr>
                <w:sz w:val="18"/>
                <w:szCs w:val="18"/>
                <w:lang w:val="en-US"/>
              </w:rPr>
            </w:pPr>
            <w:r w:rsidRPr="00FA3112">
              <w:rPr>
                <w:sz w:val="18"/>
                <w:szCs w:val="18"/>
                <w:lang w:val="en-US"/>
              </w:rPr>
              <w:t>Conventional cars, comparable to electric cars - 11 years lifetime</w:t>
            </w:r>
          </w:p>
        </w:tc>
        <w:tc>
          <w:tcPr>
            <w:tcW w:w="1134" w:type="dxa"/>
            <w:tcBorders>
              <w:top w:val="nil"/>
              <w:bottom w:val="single" w:sz="4" w:space="0" w:color="auto"/>
            </w:tcBorders>
            <w:vAlign w:val="center"/>
          </w:tcPr>
          <w:p w14:paraId="60496159" w14:textId="77777777" w:rsidR="00FA3112" w:rsidRPr="00FA3112" w:rsidRDefault="00FA3112" w:rsidP="003337C0">
            <w:pPr>
              <w:spacing w:line="240" w:lineRule="auto"/>
              <w:jc w:val="left"/>
              <w:rPr>
                <w:sz w:val="18"/>
                <w:szCs w:val="18"/>
                <w:lang w:val="en-US"/>
              </w:rPr>
            </w:pPr>
            <w:r w:rsidRPr="00FA3112">
              <w:rPr>
                <w:sz w:val="18"/>
                <w:szCs w:val="18"/>
                <w:lang w:val="en-US"/>
              </w:rPr>
              <w:t xml:space="preserve">0.26 </w:t>
            </w:r>
            <w:r w:rsidRPr="00FA3112">
              <w:rPr>
                <w:sz w:val="18"/>
                <w:szCs w:val="18"/>
              </w:rPr>
              <w:t>± 0.03</w:t>
            </w:r>
          </w:p>
        </w:tc>
        <w:tc>
          <w:tcPr>
            <w:tcW w:w="1134" w:type="dxa"/>
            <w:tcBorders>
              <w:top w:val="nil"/>
              <w:bottom w:val="single" w:sz="4" w:space="0" w:color="auto"/>
            </w:tcBorders>
            <w:vAlign w:val="center"/>
          </w:tcPr>
          <w:p w14:paraId="7A288E10" w14:textId="77777777" w:rsidR="00FA3112" w:rsidRPr="00FA3112" w:rsidRDefault="00FA3112" w:rsidP="003337C0">
            <w:pPr>
              <w:spacing w:line="240" w:lineRule="auto"/>
              <w:jc w:val="left"/>
              <w:rPr>
                <w:sz w:val="18"/>
                <w:szCs w:val="18"/>
                <w:lang w:val="en-US"/>
              </w:rPr>
            </w:pPr>
            <w:r w:rsidRPr="00FA3112">
              <w:rPr>
                <w:sz w:val="18"/>
                <w:szCs w:val="18"/>
              </w:rPr>
              <w:t>0.25 ± 0.03</w:t>
            </w:r>
          </w:p>
        </w:tc>
        <w:tc>
          <w:tcPr>
            <w:tcW w:w="1134" w:type="dxa"/>
            <w:tcBorders>
              <w:top w:val="nil"/>
              <w:bottom w:val="single" w:sz="4" w:space="0" w:color="auto"/>
            </w:tcBorders>
            <w:vAlign w:val="center"/>
          </w:tcPr>
          <w:p w14:paraId="00DEE9E3" w14:textId="77777777" w:rsidR="00FA3112" w:rsidRPr="00FA3112" w:rsidRDefault="00FA3112" w:rsidP="003337C0">
            <w:pPr>
              <w:spacing w:line="240" w:lineRule="auto"/>
              <w:jc w:val="left"/>
              <w:rPr>
                <w:sz w:val="18"/>
                <w:szCs w:val="18"/>
                <w:lang w:val="en-US"/>
              </w:rPr>
            </w:pPr>
            <w:r w:rsidRPr="00FA3112">
              <w:rPr>
                <w:sz w:val="18"/>
                <w:szCs w:val="18"/>
              </w:rPr>
              <w:t>0.27 ± 0.04</w:t>
            </w:r>
          </w:p>
        </w:tc>
        <w:tc>
          <w:tcPr>
            <w:tcW w:w="1134" w:type="dxa"/>
            <w:tcBorders>
              <w:top w:val="nil"/>
              <w:bottom w:val="single" w:sz="4" w:space="0" w:color="auto"/>
            </w:tcBorders>
            <w:vAlign w:val="center"/>
          </w:tcPr>
          <w:p w14:paraId="02BF5680" w14:textId="77777777" w:rsidR="00FA3112" w:rsidRPr="00FA3112" w:rsidRDefault="00FA3112" w:rsidP="003337C0">
            <w:pPr>
              <w:spacing w:line="240" w:lineRule="auto"/>
              <w:jc w:val="left"/>
              <w:rPr>
                <w:sz w:val="18"/>
                <w:szCs w:val="18"/>
                <w:lang w:val="en-US"/>
              </w:rPr>
            </w:pPr>
            <w:r w:rsidRPr="00FA3112">
              <w:rPr>
                <w:sz w:val="18"/>
                <w:szCs w:val="18"/>
              </w:rPr>
              <w:t>0.36 ± 0.15</w:t>
            </w:r>
          </w:p>
        </w:tc>
        <w:tc>
          <w:tcPr>
            <w:tcW w:w="1134" w:type="dxa"/>
            <w:tcBorders>
              <w:top w:val="nil"/>
              <w:bottom w:val="single" w:sz="4" w:space="0" w:color="auto"/>
            </w:tcBorders>
            <w:vAlign w:val="center"/>
          </w:tcPr>
          <w:p w14:paraId="0166265A" w14:textId="77777777" w:rsidR="00FA3112" w:rsidRPr="00FA3112" w:rsidRDefault="00FA3112" w:rsidP="003337C0">
            <w:pPr>
              <w:spacing w:line="240" w:lineRule="auto"/>
              <w:jc w:val="left"/>
              <w:rPr>
                <w:sz w:val="18"/>
                <w:szCs w:val="18"/>
                <w:lang w:val="en-US"/>
              </w:rPr>
            </w:pPr>
            <w:r w:rsidRPr="00FA3112">
              <w:rPr>
                <w:sz w:val="18"/>
                <w:szCs w:val="18"/>
              </w:rPr>
              <w:t>0.35 ± 0.13</w:t>
            </w:r>
          </w:p>
        </w:tc>
        <w:tc>
          <w:tcPr>
            <w:tcW w:w="1134" w:type="dxa"/>
            <w:tcBorders>
              <w:top w:val="nil"/>
              <w:bottom w:val="single" w:sz="4" w:space="0" w:color="auto"/>
            </w:tcBorders>
            <w:vAlign w:val="center"/>
          </w:tcPr>
          <w:p w14:paraId="46D9EC00" w14:textId="77777777" w:rsidR="00FA3112" w:rsidRPr="00FA3112" w:rsidRDefault="00FA3112" w:rsidP="003337C0">
            <w:pPr>
              <w:spacing w:line="240" w:lineRule="auto"/>
              <w:jc w:val="left"/>
              <w:rPr>
                <w:sz w:val="18"/>
                <w:szCs w:val="18"/>
                <w:lang w:val="en-US"/>
              </w:rPr>
            </w:pPr>
            <w:r w:rsidRPr="00FA3112">
              <w:rPr>
                <w:sz w:val="18"/>
                <w:szCs w:val="18"/>
              </w:rPr>
              <w:t>0.35 ± 0.12</w:t>
            </w:r>
          </w:p>
        </w:tc>
        <w:tc>
          <w:tcPr>
            <w:tcW w:w="1134" w:type="dxa"/>
            <w:tcBorders>
              <w:top w:val="nil"/>
              <w:bottom w:val="single" w:sz="4" w:space="0" w:color="auto"/>
            </w:tcBorders>
            <w:vAlign w:val="center"/>
          </w:tcPr>
          <w:p w14:paraId="313F8806" w14:textId="77777777" w:rsidR="00FA3112" w:rsidRPr="00FA3112" w:rsidRDefault="00FA3112" w:rsidP="003337C0">
            <w:pPr>
              <w:spacing w:line="240" w:lineRule="auto"/>
              <w:jc w:val="left"/>
              <w:rPr>
                <w:sz w:val="18"/>
                <w:szCs w:val="18"/>
                <w:lang w:val="en-US"/>
              </w:rPr>
            </w:pPr>
            <w:r w:rsidRPr="00FA3112">
              <w:rPr>
                <w:sz w:val="18"/>
                <w:szCs w:val="18"/>
              </w:rPr>
              <w:t>0.47 ± 0.28</w:t>
            </w:r>
          </w:p>
        </w:tc>
      </w:tr>
      <w:tr w:rsidR="00FA3112" w:rsidRPr="00FA3112" w14:paraId="32D8D56B" w14:textId="77777777" w:rsidTr="00FA3112">
        <w:tc>
          <w:tcPr>
            <w:tcW w:w="1276" w:type="dxa"/>
            <w:vMerge/>
            <w:shd w:val="clear" w:color="auto" w:fill="D9D9D9" w:themeFill="background1" w:themeFillShade="D9"/>
          </w:tcPr>
          <w:p w14:paraId="095ABA4A" w14:textId="77777777" w:rsidR="00FA3112" w:rsidRPr="00FA3112" w:rsidRDefault="00FA3112" w:rsidP="003337C0">
            <w:pPr>
              <w:spacing w:line="240" w:lineRule="auto"/>
              <w:jc w:val="left"/>
              <w:rPr>
                <w:sz w:val="18"/>
                <w:szCs w:val="18"/>
                <w:lang w:val="en-US"/>
              </w:rPr>
            </w:pPr>
          </w:p>
        </w:tc>
        <w:tc>
          <w:tcPr>
            <w:tcW w:w="5245" w:type="dxa"/>
            <w:tcBorders>
              <w:bottom w:val="nil"/>
            </w:tcBorders>
            <w:shd w:val="clear" w:color="auto" w:fill="D9D9D9" w:themeFill="background1" w:themeFillShade="D9"/>
            <w:vAlign w:val="center"/>
          </w:tcPr>
          <w:p w14:paraId="031B41E6" w14:textId="14E5E737" w:rsidR="00FA3112" w:rsidRPr="00FA3112" w:rsidRDefault="00FA3112" w:rsidP="003337C0">
            <w:pPr>
              <w:spacing w:line="240" w:lineRule="auto"/>
              <w:jc w:val="left"/>
              <w:rPr>
                <w:sz w:val="18"/>
                <w:szCs w:val="18"/>
                <w:lang w:val="en-US"/>
              </w:rPr>
            </w:pPr>
            <w:r w:rsidRPr="00FA3112">
              <w:rPr>
                <w:sz w:val="18"/>
                <w:szCs w:val="18"/>
                <w:lang w:val="en-US"/>
              </w:rPr>
              <w:t>Conventional cars, comparable to plug-in hybrids - 6 years lifetime</w:t>
            </w:r>
          </w:p>
        </w:tc>
        <w:tc>
          <w:tcPr>
            <w:tcW w:w="1134" w:type="dxa"/>
            <w:tcBorders>
              <w:bottom w:val="nil"/>
            </w:tcBorders>
            <w:shd w:val="clear" w:color="auto" w:fill="D9D9D9" w:themeFill="background1" w:themeFillShade="D9"/>
            <w:vAlign w:val="center"/>
          </w:tcPr>
          <w:p w14:paraId="47BBC6FB" w14:textId="77777777" w:rsidR="00FA3112" w:rsidRPr="00FA3112" w:rsidRDefault="00FA3112" w:rsidP="003337C0">
            <w:pPr>
              <w:spacing w:line="240" w:lineRule="auto"/>
              <w:jc w:val="left"/>
              <w:rPr>
                <w:sz w:val="18"/>
                <w:szCs w:val="18"/>
                <w:lang w:val="en-US"/>
              </w:rPr>
            </w:pPr>
            <w:r w:rsidRPr="00FA3112">
              <w:rPr>
                <w:sz w:val="18"/>
                <w:szCs w:val="18"/>
                <w:lang w:val="en-US"/>
              </w:rPr>
              <w:t>-</w:t>
            </w:r>
          </w:p>
        </w:tc>
        <w:tc>
          <w:tcPr>
            <w:tcW w:w="1134" w:type="dxa"/>
            <w:tcBorders>
              <w:bottom w:val="nil"/>
            </w:tcBorders>
            <w:shd w:val="clear" w:color="auto" w:fill="D9D9D9" w:themeFill="background1" w:themeFillShade="D9"/>
            <w:vAlign w:val="center"/>
          </w:tcPr>
          <w:p w14:paraId="09CD6E65" w14:textId="77777777" w:rsidR="00FA3112" w:rsidRPr="00FA3112" w:rsidRDefault="00FA3112" w:rsidP="003337C0">
            <w:pPr>
              <w:spacing w:line="240" w:lineRule="auto"/>
              <w:jc w:val="left"/>
              <w:rPr>
                <w:sz w:val="18"/>
                <w:szCs w:val="18"/>
                <w:lang w:val="en-US"/>
              </w:rPr>
            </w:pPr>
            <w:r w:rsidRPr="00FA3112">
              <w:rPr>
                <w:sz w:val="18"/>
                <w:szCs w:val="18"/>
                <w:lang w:val="en-US"/>
              </w:rPr>
              <w:t>0.55</w:t>
            </w:r>
            <w:r w:rsidRPr="00FA3112">
              <w:rPr>
                <w:sz w:val="18"/>
                <w:szCs w:val="18"/>
                <w:vertAlign w:val="superscript"/>
                <w:lang w:val="en-US"/>
              </w:rPr>
              <w:t>a</w:t>
            </w:r>
          </w:p>
        </w:tc>
        <w:tc>
          <w:tcPr>
            <w:tcW w:w="1134" w:type="dxa"/>
            <w:tcBorders>
              <w:bottom w:val="nil"/>
            </w:tcBorders>
            <w:shd w:val="clear" w:color="auto" w:fill="D9D9D9" w:themeFill="background1" w:themeFillShade="D9"/>
            <w:vAlign w:val="center"/>
          </w:tcPr>
          <w:p w14:paraId="2910CFB1" w14:textId="77777777" w:rsidR="00FA3112" w:rsidRPr="00FA3112" w:rsidRDefault="00FA3112" w:rsidP="003337C0">
            <w:pPr>
              <w:spacing w:line="240" w:lineRule="auto"/>
              <w:jc w:val="left"/>
              <w:rPr>
                <w:sz w:val="18"/>
                <w:szCs w:val="18"/>
                <w:lang w:val="en-US"/>
              </w:rPr>
            </w:pPr>
            <w:r w:rsidRPr="00FA3112">
              <w:rPr>
                <w:sz w:val="18"/>
                <w:szCs w:val="18"/>
              </w:rPr>
              <w:t>0.49 ± 0.09</w:t>
            </w:r>
          </w:p>
        </w:tc>
        <w:tc>
          <w:tcPr>
            <w:tcW w:w="1134" w:type="dxa"/>
            <w:tcBorders>
              <w:bottom w:val="nil"/>
            </w:tcBorders>
            <w:shd w:val="clear" w:color="auto" w:fill="D9D9D9" w:themeFill="background1" w:themeFillShade="D9"/>
            <w:vAlign w:val="center"/>
          </w:tcPr>
          <w:p w14:paraId="04FC7938" w14:textId="77777777" w:rsidR="00FA3112" w:rsidRPr="00FA3112" w:rsidRDefault="00FA3112" w:rsidP="003337C0">
            <w:pPr>
              <w:spacing w:line="240" w:lineRule="auto"/>
              <w:jc w:val="left"/>
              <w:rPr>
                <w:sz w:val="18"/>
                <w:szCs w:val="18"/>
                <w:lang w:val="en-US"/>
              </w:rPr>
            </w:pPr>
            <w:r w:rsidRPr="00FA3112">
              <w:rPr>
                <w:sz w:val="18"/>
                <w:szCs w:val="18"/>
              </w:rPr>
              <w:t>0.79 ± 0.48</w:t>
            </w:r>
          </w:p>
        </w:tc>
        <w:tc>
          <w:tcPr>
            <w:tcW w:w="1134" w:type="dxa"/>
            <w:tcBorders>
              <w:bottom w:val="nil"/>
            </w:tcBorders>
            <w:shd w:val="clear" w:color="auto" w:fill="D9D9D9" w:themeFill="background1" w:themeFillShade="D9"/>
            <w:vAlign w:val="center"/>
          </w:tcPr>
          <w:p w14:paraId="64C30A7F" w14:textId="77777777" w:rsidR="00FA3112" w:rsidRPr="00FA3112" w:rsidRDefault="00FA3112" w:rsidP="003337C0">
            <w:pPr>
              <w:spacing w:line="240" w:lineRule="auto"/>
              <w:jc w:val="left"/>
              <w:rPr>
                <w:sz w:val="18"/>
                <w:szCs w:val="18"/>
                <w:lang w:val="en-US"/>
              </w:rPr>
            </w:pPr>
            <w:r w:rsidRPr="00FA3112">
              <w:rPr>
                <w:sz w:val="18"/>
                <w:szCs w:val="18"/>
              </w:rPr>
              <w:t>1.01 ± 0.59</w:t>
            </w:r>
          </w:p>
        </w:tc>
        <w:tc>
          <w:tcPr>
            <w:tcW w:w="1134" w:type="dxa"/>
            <w:tcBorders>
              <w:bottom w:val="nil"/>
            </w:tcBorders>
            <w:shd w:val="clear" w:color="auto" w:fill="D9D9D9" w:themeFill="background1" w:themeFillShade="D9"/>
            <w:vAlign w:val="center"/>
          </w:tcPr>
          <w:p w14:paraId="297689F9" w14:textId="77777777" w:rsidR="00FA3112" w:rsidRPr="00FA3112" w:rsidRDefault="00FA3112" w:rsidP="003337C0">
            <w:pPr>
              <w:spacing w:line="240" w:lineRule="auto"/>
              <w:jc w:val="left"/>
              <w:rPr>
                <w:sz w:val="18"/>
                <w:szCs w:val="18"/>
                <w:lang w:val="en-US"/>
              </w:rPr>
            </w:pPr>
            <w:r w:rsidRPr="00FA3112">
              <w:rPr>
                <w:sz w:val="18"/>
                <w:szCs w:val="18"/>
              </w:rPr>
              <w:t>1.01 ± 0.47</w:t>
            </w:r>
          </w:p>
        </w:tc>
        <w:tc>
          <w:tcPr>
            <w:tcW w:w="1134" w:type="dxa"/>
            <w:tcBorders>
              <w:bottom w:val="nil"/>
            </w:tcBorders>
            <w:shd w:val="clear" w:color="auto" w:fill="D9D9D9" w:themeFill="background1" w:themeFillShade="D9"/>
            <w:vAlign w:val="center"/>
          </w:tcPr>
          <w:p w14:paraId="4397D525" w14:textId="77777777" w:rsidR="00FA3112" w:rsidRPr="00FA3112" w:rsidRDefault="00FA3112" w:rsidP="003337C0">
            <w:pPr>
              <w:spacing w:line="240" w:lineRule="auto"/>
              <w:jc w:val="left"/>
              <w:rPr>
                <w:sz w:val="18"/>
                <w:szCs w:val="18"/>
                <w:lang w:val="en-US"/>
              </w:rPr>
            </w:pPr>
            <w:r w:rsidRPr="00FA3112">
              <w:rPr>
                <w:sz w:val="18"/>
                <w:szCs w:val="18"/>
              </w:rPr>
              <w:t>1.01 ± 0.47</w:t>
            </w:r>
          </w:p>
        </w:tc>
      </w:tr>
      <w:tr w:rsidR="00FA3112" w:rsidRPr="00FA3112" w14:paraId="46393DDD" w14:textId="77777777" w:rsidTr="00FA3112">
        <w:tc>
          <w:tcPr>
            <w:tcW w:w="1276" w:type="dxa"/>
            <w:vMerge/>
            <w:shd w:val="clear" w:color="auto" w:fill="D9D9D9" w:themeFill="background1" w:themeFillShade="D9"/>
          </w:tcPr>
          <w:p w14:paraId="135D51B4" w14:textId="77777777" w:rsidR="00FA3112" w:rsidRPr="00FA3112" w:rsidRDefault="00FA3112" w:rsidP="003337C0">
            <w:pPr>
              <w:spacing w:line="240" w:lineRule="auto"/>
              <w:jc w:val="left"/>
              <w:rPr>
                <w:sz w:val="18"/>
                <w:szCs w:val="18"/>
                <w:lang w:val="en-US"/>
              </w:rPr>
            </w:pPr>
          </w:p>
        </w:tc>
        <w:tc>
          <w:tcPr>
            <w:tcW w:w="5245" w:type="dxa"/>
            <w:tcBorders>
              <w:top w:val="nil"/>
            </w:tcBorders>
            <w:shd w:val="clear" w:color="auto" w:fill="D9D9D9" w:themeFill="background1" w:themeFillShade="D9"/>
            <w:vAlign w:val="center"/>
          </w:tcPr>
          <w:p w14:paraId="43802FB4" w14:textId="45F38097" w:rsidR="00FA3112" w:rsidRPr="00FA3112" w:rsidRDefault="00FA3112" w:rsidP="003337C0">
            <w:pPr>
              <w:spacing w:line="240" w:lineRule="auto"/>
              <w:jc w:val="left"/>
              <w:rPr>
                <w:sz w:val="18"/>
                <w:szCs w:val="18"/>
                <w:lang w:val="en-US"/>
              </w:rPr>
            </w:pPr>
            <w:r w:rsidRPr="00FA3112">
              <w:rPr>
                <w:sz w:val="18"/>
                <w:szCs w:val="18"/>
                <w:lang w:val="en-US"/>
              </w:rPr>
              <w:t>Conventional cars, comparable to plug-in hybrids - 11 years lifetime</w:t>
            </w:r>
          </w:p>
        </w:tc>
        <w:tc>
          <w:tcPr>
            <w:tcW w:w="1134" w:type="dxa"/>
            <w:tcBorders>
              <w:top w:val="nil"/>
            </w:tcBorders>
            <w:shd w:val="clear" w:color="auto" w:fill="D9D9D9" w:themeFill="background1" w:themeFillShade="D9"/>
            <w:vAlign w:val="center"/>
          </w:tcPr>
          <w:p w14:paraId="27B2F152" w14:textId="77777777" w:rsidR="00FA3112" w:rsidRPr="00FA3112" w:rsidRDefault="00FA3112" w:rsidP="003337C0">
            <w:pPr>
              <w:spacing w:line="240" w:lineRule="auto"/>
              <w:jc w:val="left"/>
              <w:rPr>
                <w:sz w:val="18"/>
                <w:szCs w:val="18"/>
                <w:lang w:val="en-US"/>
              </w:rPr>
            </w:pPr>
            <w:r w:rsidRPr="00FA3112">
              <w:rPr>
                <w:sz w:val="18"/>
                <w:szCs w:val="18"/>
                <w:lang w:val="en-US"/>
              </w:rPr>
              <w:t>-</w:t>
            </w:r>
          </w:p>
        </w:tc>
        <w:tc>
          <w:tcPr>
            <w:tcW w:w="1134" w:type="dxa"/>
            <w:tcBorders>
              <w:top w:val="nil"/>
            </w:tcBorders>
            <w:shd w:val="clear" w:color="auto" w:fill="D9D9D9" w:themeFill="background1" w:themeFillShade="D9"/>
            <w:vAlign w:val="center"/>
          </w:tcPr>
          <w:p w14:paraId="16E0A3F8" w14:textId="77777777" w:rsidR="00FA3112" w:rsidRPr="00FA3112" w:rsidRDefault="00FA3112" w:rsidP="003337C0">
            <w:pPr>
              <w:spacing w:line="240" w:lineRule="auto"/>
              <w:jc w:val="left"/>
              <w:rPr>
                <w:sz w:val="18"/>
                <w:szCs w:val="18"/>
                <w:lang w:val="en-US"/>
              </w:rPr>
            </w:pPr>
            <w:r w:rsidRPr="00FA3112">
              <w:rPr>
                <w:sz w:val="18"/>
                <w:szCs w:val="18"/>
              </w:rPr>
              <w:t>0.43</w:t>
            </w:r>
            <w:r w:rsidRPr="00FA3112">
              <w:rPr>
                <w:sz w:val="18"/>
                <w:szCs w:val="18"/>
                <w:vertAlign w:val="superscript"/>
              </w:rPr>
              <w:t>a</w:t>
            </w:r>
          </w:p>
        </w:tc>
        <w:tc>
          <w:tcPr>
            <w:tcW w:w="1134" w:type="dxa"/>
            <w:tcBorders>
              <w:top w:val="nil"/>
            </w:tcBorders>
            <w:shd w:val="clear" w:color="auto" w:fill="D9D9D9" w:themeFill="background1" w:themeFillShade="D9"/>
            <w:vAlign w:val="center"/>
          </w:tcPr>
          <w:p w14:paraId="42FF1804" w14:textId="77777777" w:rsidR="00FA3112" w:rsidRPr="00FA3112" w:rsidRDefault="00FA3112" w:rsidP="003337C0">
            <w:pPr>
              <w:spacing w:line="240" w:lineRule="auto"/>
              <w:jc w:val="left"/>
              <w:rPr>
                <w:sz w:val="18"/>
                <w:szCs w:val="18"/>
                <w:lang w:val="en-US"/>
              </w:rPr>
            </w:pPr>
            <w:r w:rsidRPr="00FA3112">
              <w:rPr>
                <w:sz w:val="18"/>
                <w:szCs w:val="18"/>
              </w:rPr>
              <w:t>0.38 ± 0.07</w:t>
            </w:r>
          </w:p>
        </w:tc>
        <w:tc>
          <w:tcPr>
            <w:tcW w:w="1134" w:type="dxa"/>
            <w:tcBorders>
              <w:top w:val="nil"/>
            </w:tcBorders>
            <w:shd w:val="clear" w:color="auto" w:fill="D9D9D9" w:themeFill="background1" w:themeFillShade="D9"/>
            <w:vAlign w:val="center"/>
          </w:tcPr>
          <w:p w14:paraId="4F4930C3" w14:textId="77777777" w:rsidR="00FA3112" w:rsidRPr="00FA3112" w:rsidRDefault="00FA3112" w:rsidP="003337C0">
            <w:pPr>
              <w:spacing w:line="240" w:lineRule="auto"/>
              <w:jc w:val="left"/>
              <w:rPr>
                <w:sz w:val="18"/>
                <w:szCs w:val="18"/>
                <w:lang w:val="en-US"/>
              </w:rPr>
            </w:pPr>
            <w:r w:rsidRPr="00FA3112">
              <w:rPr>
                <w:sz w:val="18"/>
                <w:szCs w:val="18"/>
              </w:rPr>
              <w:t>0.58 ± 0.31</w:t>
            </w:r>
          </w:p>
        </w:tc>
        <w:tc>
          <w:tcPr>
            <w:tcW w:w="1134" w:type="dxa"/>
            <w:tcBorders>
              <w:top w:val="nil"/>
            </w:tcBorders>
            <w:shd w:val="clear" w:color="auto" w:fill="D9D9D9" w:themeFill="background1" w:themeFillShade="D9"/>
            <w:vAlign w:val="center"/>
          </w:tcPr>
          <w:p w14:paraId="45E0847A" w14:textId="77777777" w:rsidR="00FA3112" w:rsidRPr="00FA3112" w:rsidRDefault="00FA3112" w:rsidP="003337C0">
            <w:pPr>
              <w:spacing w:line="240" w:lineRule="auto"/>
              <w:jc w:val="left"/>
              <w:rPr>
                <w:sz w:val="18"/>
                <w:szCs w:val="18"/>
                <w:lang w:val="en-US"/>
              </w:rPr>
            </w:pPr>
            <w:r w:rsidRPr="00FA3112">
              <w:rPr>
                <w:sz w:val="18"/>
                <w:szCs w:val="18"/>
              </w:rPr>
              <w:t>0.73 ± 0.39</w:t>
            </w:r>
          </w:p>
        </w:tc>
        <w:tc>
          <w:tcPr>
            <w:tcW w:w="1134" w:type="dxa"/>
            <w:tcBorders>
              <w:top w:val="nil"/>
            </w:tcBorders>
            <w:shd w:val="clear" w:color="auto" w:fill="D9D9D9" w:themeFill="background1" w:themeFillShade="D9"/>
            <w:vAlign w:val="center"/>
          </w:tcPr>
          <w:p w14:paraId="51471BC7" w14:textId="77777777" w:rsidR="00FA3112" w:rsidRPr="00FA3112" w:rsidRDefault="00FA3112" w:rsidP="003337C0">
            <w:pPr>
              <w:spacing w:line="240" w:lineRule="auto"/>
              <w:jc w:val="left"/>
              <w:rPr>
                <w:sz w:val="18"/>
                <w:szCs w:val="18"/>
                <w:lang w:val="en-US"/>
              </w:rPr>
            </w:pPr>
            <w:r w:rsidRPr="00FA3112">
              <w:rPr>
                <w:sz w:val="18"/>
                <w:szCs w:val="18"/>
              </w:rPr>
              <w:t>0.73 ± 0.32</w:t>
            </w:r>
          </w:p>
        </w:tc>
        <w:tc>
          <w:tcPr>
            <w:tcW w:w="1134" w:type="dxa"/>
            <w:tcBorders>
              <w:top w:val="nil"/>
            </w:tcBorders>
            <w:shd w:val="clear" w:color="auto" w:fill="D9D9D9" w:themeFill="background1" w:themeFillShade="D9"/>
            <w:vAlign w:val="center"/>
          </w:tcPr>
          <w:p w14:paraId="30018ADE" w14:textId="77777777" w:rsidR="00FA3112" w:rsidRPr="00FA3112" w:rsidRDefault="00FA3112" w:rsidP="003337C0">
            <w:pPr>
              <w:spacing w:line="240" w:lineRule="auto"/>
              <w:jc w:val="left"/>
              <w:rPr>
                <w:sz w:val="18"/>
                <w:szCs w:val="18"/>
                <w:lang w:val="en-US"/>
              </w:rPr>
            </w:pPr>
            <w:r w:rsidRPr="00FA3112">
              <w:rPr>
                <w:sz w:val="18"/>
                <w:szCs w:val="18"/>
              </w:rPr>
              <w:t>0.73 ± 0.30</w:t>
            </w:r>
          </w:p>
        </w:tc>
      </w:tr>
    </w:tbl>
    <w:p w14:paraId="1D07319C" w14:textId="77777777" w:rsidR="00FA3112" w:rsidRPr="001A7F4C" w:rsidRDefault="00FA3112" w:rsidP="00FA3112">
      <w:pPr>
        <w:spacing w:after="0" w:line="240" w:lineRule="auto"/>
        <w:rPr>
          <w:sz w:val="20"/>
          <w:szCs w:val="20"/>
          <w:lang w:val="en-US"/>
        </w:rPr>
      </w:pPr>
      <w:r>
        <w:rPr>
          <w:sz w:val="20"/>
          <w:szCs w:val="20"/>
          <w:lang w:val="en-US"/>
        </w:rPr>
        <w:t>- no data avai</w:t>
      </w:r>
      <w:r w:rsidRPr="001A7F4C">
        <w:rPr>
          <w:sz w:val="20"/>
          <w:szCs w:val="20"/>
          <w:lang w:val="en-US"/>
        </w:rPr>
        <w:t>l</w:t>
      </w:r>
      <w:r>
        <w:rPr>
          <w:sz w:val="20"/>
          <w:szCs w:val="20"/>
          <w:lang w:val="en-US"/>
        </w:rPr>
        <w:t>a</w:t>
      </w:r>
      <w:r w:rsidRPr="001A7F4C">
        <w:rPr>
          <w:sz w:val="20"/>
          <w:szCs w:val="20"/>
          <w:lang w:val="en-US"/>
        </w:rPr>
        <w:t>ble</w:t>
      </w:r>
    </w:p>
    <w:p w14:paraId="3806FDD9" w14:textId="77777777" w:rsidR="00FA3112" w:rsidRDefault="00FA3112" w:rsidP="00FA3112">
      <w:pPr>
        <w:spacing w:after="0" w:line="240" w:lineRule="auto"/>
        <w:rPr>
          <w:sz w:val="20"/>
          <w:szCs w:val="20"/>
          <w:lang w:val="en-US"/>
        </w:rPr>
      </w:pPr>
      <w:proofErr w:type="spellStart"/>
      <w:r w:rsidRPr="001A7F4C">
        <w:rPr>
          <w:sz w:val="20"/>
          <w:szCs w:val="20"/>
          <w:vertAlign w:val="superscript"/>
          <w:lang w:val="en-US"/>
        </w:rPr>
        <w:t>a</w:t>
      </w:r>
      <w:r w:rsidRPr="001A7F4C">
        <w:rPr>
          <w:sz w:val="20"/>
          <w:szCs w:val="20"/>
          <w:lang w:val="en-US"/>
        </w:rPr>
        <w:t>only</w:t>
      </w:r>
      <w:proofErr w:type="spellEnd"/>
      <w:r w:rsidRPr="001A7F4C">
        <w:rPr>
          <w:sz w:val="20"/>
          <w:szCs w:val="20"/>
          <w:lang w:val="en-US"/>
        </w:rPr>
        <w:t xml:space="preserve"> one data point available</w:t>
      </w:r>
    </w:p>
    <w:p w14:paraId="15624E71" w14:textId="77777777" w:rsidR="00BD75B0" w:rsidRDefault="00BD75B0" w:rsidP="00FA3112">
      <w:pPr>
        <w:spacing w:after="0" w:line="240" w:lineRule="auto"/>
        <w:rPr>
          <w:sz w:val="20"/>
          <w:szCs w:val="20"/>
          <w:lang w:val="en-US"/>
        </w:rPr>
      </w:pPr>
    </w:p>
    <w:p w14:paraId="77680D0E" w14:textId="7008AFE9" w:rsidR="00BD75B0" w:rsidRPr="001A7F4C" w:rsidRDefault="00BD75B0" w:rsidP="00FA3112">
      <w:pPr>
        <w:spacing w:after="0" w:line="240" w:lineRule="auto"/>
        <w:rPr>
          <w:sz w:val="20"/>
          <w:szCs w:val="20"/>
          <w:lang w:val="en-US"/>
        </w:rPr>
      </w:pPr>
    </w:p>
    <w:p w14:paraId="17F90931" w14:textId="77777777" w:rsidR="00284AA5" w:rsidRDefault="00284AA5" w:rsidP="00284AA5">
      <w:pPr>
        <w:spacing w:after="0"/>
        <w:rPr>
          <w:szCs w:val="24"/>
          <w:lang w:val="en-US"/>
        </w:rPr>
        <w:sectPr w:rsidR="00284AA5" w:rsidSect="00284AA5">
          <w:footerReference w:type="default" r:id="rId8"/>
          <w:footnotePr>
            <w:numStart w:val="4"/>
          </w:footnotePr>
          <w:pgSz w:w="16838" w:h="11906" w:orient="landscape"/>
          <w:pgMar w:top="1417" w:right="1417" w:bottom="1417" w:left="1134" w:header="708" w:footer="708" w:gutter="0"/>
          <w:cols w:space="708"/>
          <w:docGrid w:linePitch="360"/>
        </w:sectPr>
      </w:pPr>
    </w:p>
    <w:p w14:paraId="4B8839E4" w14:textId="5B90494F" w:rsidR="00FA3112" w:rsidRPr="001A7F4C" w:rsidRDefault="00327C02" w:rsidP="00284AA5">
      <w:pPr>
        <w:spacing w:after="0"/>
        <w:ind w:left="1410" w:hanging="1410"/>
        <w:rPr>
          <w:szCs w:val="24"/>
          <w:lang w:val="en-US"/>
        </w:rPr>
      </w:pPr>
      <w:r>
        <w:rPr>
          <w:szCs w:val="24"/>
          <w:lang w:val="en-US"/>
        </w:rPr>
        <w:lastRenderedPageBreak/>
        <w:t>Table S8</w:t>
      </w:r>
      <w:r w:rsidR="00FA3112">
        <w:rPr>
          <w:szCs w:val="24"/>
          <w:lang w:val="en-US"/>
        </w:rPr>
        <w:t xml:space="preserve">: </w:t>
      </w:r>
      <w:r w:rsidR="00FA3112">
        <w:rPr>
          <w:szCs w:val="24"/>
          <w:lang w:val="en-US"/>
        </w:rPr>
        <w:tab/>
        <w:t>C</w:t>
      </w:r>
      <w:r w:rsidR="00FA3112" w:rsidRPr="001A7F4C">
        <w:rPr>
          <w:szCs w:val="24"/>
          <w:lang w:val="en-US"/>
        </w:rPr>
        <w:t>osts of electric cars</w:t>
      </w:r>
      <w:r w:rsidR="00FA3112">
        <w:rPr>
          <w:szCs w:val="24"/>
          <w:lang w:val="en-US"/>
        </w:rPr>
        <w:t xml:space="preserve"> and plug-in hybrids to mitigate the</w:t>
      </w:r>
      <w:r w:rsidR="00FA3112" w:rsidRPr="001A7F4C">
        <w:rPr>
          <w:szCs w:val="24"/>
          <w:lang w:val="en-US"/>
        </w:rPr>
        <w:t xml:space="preserve"> CO</w:t>
      </w:r>
      <w:r w:rsidR="00FA3112" w:rsidRPr="001A7F4C">
        <w:rPr>
          <w:szCs w:val="24"/>
          <w:vertAlign w:val="subscript"/>
          <w:lang w:val="en-US"/>
        </w:rPr>
        <w:t>2</w:t>
      </w:r>
      <w:r w:rsidR="00FA3112" w:rsidRPr="001A7F4C">
        <w:rPr>
          <w:szCs w:val="24"/>
          <w:lang w:val="en-US"/>
        </w:rPr>
        <w:t xml:space="preserve"> and air pollutant emissions of conventional cars; values a</w:t>
      </w:r>
      <w:r w:rsidR="00FA3112">
        <w:rPr>
          <w:szCs w:val="24"/>
          <w:lang w:val="en-US"/>
        </w:rPr>
        <w:t>nd error margins depict the median</w:t>
      </w:r>
      <w:r w:rsidR="00FA3112" w:rsidRPr="001A7F4C">
        <w:rPr>
          <w:szCs w:val="24"/>
          <w:lang w:val="en-US"/>
        </w:rPr>
        <w:t xml:space="preserve"> and half of the interquartile range of cost data; the interpretation of negative values is not straight forward and requires careful inspection of the underlying user costs and emission factors</w:t>
      </w:r>
    </w:p>
    <w:tbl>
      <w:tblPr>
        <w:tblStyle w:val="Tabellenraster"/>
        <w:tblW w:w="0" w:type="auto"/>
        <w:tblInd w:w="108" w:type="dxa"/>
        <w:tblLook w:val="04A0" w:firstRow="1" w:lastRow="0" w:firstColumn="1" w:lastColumn="0" w:noHBand="0" w:noVBand="1"/>
      </w:tblPr>
      <w:tblGrid>
        <w:gridCol w:w="3969"/>
        <w:gridCol w:w="1276"/>
        <w:gridCol w:w="142"/>
        <w:gridCol w:w="1276"/>
        <w:gridCol w:w="141"/>
        <w:gridCol w:w="1560"/>
        <w:gridCol w:w="1559"/>
        <w:gridCol w:w="1417"/>
        <w:gridCol w:w="1276"/>
        <w:gridCol w:w="1419"/>
      </w:tblGrid>
      <w:tr w:rsidR="00FA3112" w:rsidRPr="003337C0" w14:paraId="63DB786E" w14:textId="77777777" w:rsidTr="00AC363A">
        <w:trPr>
          <w:trHeight w:val="164"/>
        </w:trPr>
        <w:tc>
          <w:tcPr>
            <w:tcW w:w="3969" w:type="dxa"/>
            <w:shd w:val="clear" w:color="auto" w:fill="D9D9D9" w:themeFill="background1" w:themeFillShade="D9"/>
            <w:vAlign w:val="center"/>
          </w:tcPr>
          <w:p w14:paraId="4421BE50" w14:textId="77777777" w:rsidR="00FA3112" w:rsidRPr="003337C0" w:rsidRDefault="00FA3112" w:rsidP="003337C0">
            <w:pPr>
              <w:spacing w:line="240" w:lineRule="auto"/>
              <w:jc w:val="left"/>
              <w:rPr>
                <w:sz w:val="18"/>
                <w:szCs w:val="18"/>
                <w:lang w:val="en-GB"/>
              </w:rPr>
            </w:pPr>
            <w:r w:rsidRPr="003337C0">
              <w:rPr>
                <w:sz w:val="18"/>
                <w:szCs w:val="18"/>
                <w:lang w:val="en-GB"/>
              </w:rPr>
              <w:t>Year</w:t>
            </w:r>
          </w:p>
        </w:tc>
        <w:tc>
          <w:tcPr>
            <w:tcW w:w="1276" w:type="dxa"/>
            <w:shd w:val="clear" w:color="auto" w:fill="D9D9D9" w:themeFill="background1" w:themeFillShade="D9"/>
            <w:vAlign w:val="center"/>
          </w:tcPr>
          <w:p w14:paraId="5D8EDEC6" w14:textId="77777777" w:rsidR="00FA3112" w:rsidRPr="003337C0" w:rsidRDefault="00FA3112" w:rsidP="003337C0">
            <w:pPr>
              <w:spacing w:line="240" w:lineRule="auto"/>
              <w:jc w:val="left"/>
              <w:rPr>
                <w:sz w:val="18"/>
                <w:szCs w:val="18"/>
                <w:lang w:val="en-GB"/>
              </w:rPr>
            </w:pPr>
            <w:r w:rsidRPr="003337C0">
              <w:rPr>
                <w:sz w:val="18"/>
                <w:szCs w:val="18"/>
                <w:lang w:val="en-GB"/>
              </w:rPr>
              <w:t>2010</w:t>
            </w:r>
          </w:p>
        </w:tc>
        <w:tc>
          <w:tcPr>
            <w:tcW w:w="1418" w:type="dxa"/>
            <w:gridSpan w:val="2"/>
            <w:shd w:val="clear" w:color="auto" w:fill="D9D9D9" w:themeFill="background1" w:themeFillShade="D9"/>
            <w:vAlign w:val="center"/>
          </w:tcPr>
          <w:p w14:paraId="4D05385B" w14:textId="77777777" w:rsidR="00FA3112" w:rsidRPr="003337C0" w:rsidRDefault="00FA3112" w:rsidP="003337C0">
            <w:pPr>
              <w:spacing w:line="240" w:lineRule="auto"/>
              <w:jc w:val="left"/>
              <w:rPr>
                <w:sz w:val="18"/>
                <w:szCs w:val="18"/>
                <w:lang w:val="en-GB"/>
              </w:rPr>
            </w:pPr>
            <w:r w:rsidRPr="003337C0">
              <w:rPr>
                <w:sz w:val="18"/>
                <w:szCs w:val="18"/>
                <w:lang w:val="en-GB"/>
              </w:rPr>
              <w:t>2011</w:t>
            </w:r>
          </w:p>
        </w:tc>
        <w:tc>
          <w:tcPr>
            <w:tcW w:w="1701" w:type="dxa"/>
            <w:gridSpan w:val="2"/>
            <w:shd w:val="clear" w:color="auto" w:fill="D9D9D9" w:themeFill="background1" w:themeFillShade="D9"/>
            <w:vAlign w:val="center"/>
          </w:tcPr>
          <w:p w14:paraId="5C4FE083" w14:textId="77777777" w:rsidR="00FA3112" w:rsidRPr="003337C0" w:rsidRDefault="00FA3112" w:rsidP="003337C0">
            <w:pPr>
              <w:spacing w:line="240" w:lineRule="auto"/>
              <w:jc w:val="left"/>
              <w:rPr>
                <w:sz w:val="18"/>
                <w:szCs w:val="18"/>
                <w:lang w:val="en-GB"/>
              </w:rPr>
            </w:pPr>
            <w:r w:rsidRPr="003337C0">
              <w:rPr>
                <w:sz w:val="18"/>
                <w:szCs w:val="18"/>
                <w:lang w:val="en-GB"/>
              </w:rPr>
              <w:t>2012</w:t>
            </w:r>
          </w:p>
        </w:tc>
        <w:tc>
          <w:tcPr>
            <w:tcW w:w="1559" w:type="dxa"/>
            <w:shd w:val="clear" w:color="auto" w:fill="D9D9D9" w:themeFill="background1" w:themeFillShade="D9"/>
            <w:vAlign w:val="center"/>
          </w:tcPr>
          <w:p w14:paraId="7F64D92D" w14:textId="77777777" w:rsidR="00FA3112" w:rsidRPr="003337C0" w:rsidRDefault="00FA3112" w:rsidP="003337C0">
            <w:pPr>
              <w:spacing w:line="240" w:lineRule="auto"/>
              <w:jc w:val="left"/>
              <w:rPr>
                <w:sz w:val="18"/>
                <w:szCs w:val="18"/>
                <w:lang w:val="en-GB"/>
              </w:rPr>
            </w:pPr>
            <w:r w:rsidRPr="003337C0">
              <w:rPr>
                <w:sz w:val="18"/>
                <w:szCs w:val="18"/>
                <w:lang w:val="en-GB"/>
              </w:rPr>
              <w:t>2013</w:t>
            </w:r>
          </w:p>
        </w:tc>
        <w:tc>
          <w:tcPr>
            <w:tcW w:w="1417" w:type="dxa"/>
            <w:shd w:val="clear" w:color="auto" w:fill="D9D9D9" w:themeFill="background1" w:themeFillShade="D9"/>
            <w:vAlign w:val="center"/>
          </w:tcPr>
          <w:p w14:paraId="5AECA083" w14:textId="77777777" w:rsidR="00FA3112" w:rsidRPr="003337C0" w:rsidRDefault="00FA3112" w:rsidP="003337C0">
            <w:pPr>
              <w:spacing w:line="240" w:lineRule="auto"/>
              <w:jc w:val="left"/>
              <w:rPr>
                <w:sz w:val="18"/>
                <w:szCs w:val="18"/>
                <w:lang w:val="en-GB"/>
              </w:rPr>
            </w:pPr>
            <w:r w:rsidRPr="003337C0">
              <w:rPr>
                <w:sz w:val="18"/>
                <w:szCs w:val="18"/>
                <w:lang w:val="en-GB"/>
              </w:rPr>
              <w:t>2014</w:t>
            </w:r>
          </w:p>
        </w:tc>
        <w:tc>
          <w:tcPr>
            <w:tcW w:w="1276" w:type="dxa"/>
            <w:shd w:val="clear" w:color="auto" w:fill="D9D9D9" w:themeFill="background1" w:themeFillShade="D9"/>
            <w:vAlign w:val="center"/>
          </w:tcPr>
          <w:p w14:paraId="42D6A385" w14:textId="77777777" w:rsidR="00FA3112" w:rsidRPr="003337C0" w:rsidRDefault="00FA3112" w:rsidP="003337C0">
            <w:pPr>
              <w:spacing w:line="240" w:lineRule="auto"/>
              <w:jc w:val="left"/>
              <w:rPr>
                <w:sz w:val="18"/>
                <w:szCs w:val="18"/>
                <w:lang w:val="en-GB"/>
              </w:rPr>
            </w:pPr>
            <w:r w:rsidRPr="003337C0">
              <w:rPr>
                <w:sz w:val="18"/>
                <w:szCs w:val="18"/>
                <w:lang w:val="en-GB"/>
              </w:rPr>
              <w:t>2015</w:t>
            </w:r>
          </w:p>
        </w:tc>
        <w:tc>
          <w:tcPr>
            <w:tcW w:w="1419" w:type="dxa"/>
            <w:shd w:val="clear" w:color="auto" w:fill="D9D9D9" w:themeFill="background1" w:themeFillShade="D9"/>
            <w:vAlign w:val="center"/>
          </w:tcPr>
          <w:p w14:paraId="3F4C0EAA" w14:textId="77777777" w:rsidR="00FA3112" w:rsidRPr="003337C0" w:rsidRDefault="00FA3112" w:rsidP="003337C0">
            <w:pPr>
              <w:spacing w:line="240" w:lineRule="auto"/>
              <w:jc w:val="left"/>
              <w:rPr>
                <w:sz w:val="18"/>
                <w:szCs w:val="18"/>
                <w:lang w:val="en-GB"/>
              </w:rPr>
            </w:pPr>
            <w:r w:rsidRPr="003337C0">
              <w:rPr>
                <w:sz w:val="18"/>
                <w:szCs w:val="18"/>
                <w:lang w:val="en-GB"/>
              </w:rPr>
              <w:t>2016</w:t>
            </w:r>
          </w:p>
        </w:tc>
      </w:tr>
      <w:tr w:rsidR="00FA3112" w:rsidRPr="003337C0" w14:paraId="7616DBCF" w14:textId="77777777" w:rsidTr="00AC363A">
        <w:trPr>
          <w:trHeight w:val="164"/>
        </w:trPr>
        <w:tc>
          <w:tcPr>
            <w:tcW w:w="3969" w:type="dxa"/>
            <w:vMerge w:val="restart"/>
            <w:shd w:val="clear" w:color="auto" w:fill="auto"/>
            <w:vAlign w:val="center"/>
          </w:tcPr>
          <w:p w14:paraId="75A80AA5" w14:textId="77777777" w:rsidR="00FA3112" w:rsidRPr="003337C0" w:rsidRDefault="00FA3112" w:rsidP="003337C0">
            <w:pPr>
              <w:spacing w:line="240" w:lineRule="auto"/>
              <w:jc w:val="left"/>
              <w:rPr>
                <w:sz w:val="18"/>
                <w:szCs w:val="18"/>
                <w:lang w:val="en-GB"/>
              </w:rPr>
            </w:pPr>
            <w:r w:rsidRPr="003337C0">
              <w:rPr>
                <w:sz w:val="18"/>
                <w:szCs w:val="18"/>
                <w:lang w:val="en-GB"/>
              </w:rPr>
              <w:t>Emissions mitigation costs in [EUR</w:t>
            </w:r>
            <w:r w:rsidRPr="003337C0">
              <w:rPr>
                <w:sz w:val="18"/>
                <w:szCs w:val="18"/>
                <w:vertAlign w:val="subscript"/>
                <w:lang w:val="en-GB"/>
              </w:rPr>
              <w:t>2015</w:t>
            </w:r>
            <w:r w:rsidRPr="003337C0">
              <w:rPr>
                <w:sz w:val="18"/>
                <w:szCs w:val="18"/>
                <w:lang w:val="en-GB"/>
              </w:rPr>
              <w:t>/t CO</w:t>
            </w:r>
            <w:r w:rsidRPr="003337C0">
              <w:rPr>
                <w:sz w:val="18"/>
                <w:szCs w:val="18"/>
                <w:vertAlign w:val="subscript"/>
                <w:lang w:val="en-GB"/>
              </w:rPr>
              <w:t>2</w:t>
            </w:r>
            <w:r w:rsidRPr="003337C0">
              <w:rPr>
                <w:sz w:val="18"/>
                <w:szCs w:val="18"/>
                <w:lang w:val="en-GB"/>
              </w:rPr>
              <w:t>]</w:t>
            </w:r>
          </w:p>
        </w:tc>
        <w:tc>
          <w:tcPr>
            <w:tcW w:w="10066" w:type="dxa"/>
            <w:gridSpan w:val="9"/>
            <w:shd w:val="clear" w:color="auto" w:fill="auto"/>
            <w:vAlign w:val="center"/>
          </w:tcPr>
          <w:p w14:paraId="4AAD515B" w14:textId="77777777" w:rsidR="00FA3112" w:rsidRPr="003337C0" w:rsidRDefault="00FA3112" w:rsidP="003337C0">
            <w:pPr>
              <w:spacing w:line="240" w:lineRule="auto"/>
              <w:jc w:val="center"/>
              <w:rPr>
                <w:sz w:val="18"/>
                <w:szCs w:val="18"/>
                <w:lang w:val="en-GB"/>
              </w:rPr>
            </w:pPr>
            <w:r w:rsidRPr="003337C0">
              <w:rPr>
                <w:sz w:val="18"/>
                <w:szCs w:val="18"/>
                <w:lang w:val="en-GB"/>
              </w:rPr>
              <w:t>CO</w:t>
            </w:r>
            <w:r w:rsidRPr="003337C0">
              <w:rPr>
                <w:sz w:val="18"/>
                <w:szCs w:val="18"/>
                <w:vertAlign w:val="subscript"/>
                <w:lang w:val="en-GB"/>
              </w:rPr>
              <w:t>2</w:t>
            </w:r>
            <w:r w:rsidRPr="003337C0">
              <w:rPr>
                <w:sz w:val="18"/>
                <w:szCs w:val="18"/>
                <w:lang w:val="en-GB"/>
              </w:rPr>
              <w:t xml:space="preserve"> emissions</w:t>
            </w:r>
          </w:p>
        </w:tc>
      </w:tr>
      <w:tr w:rsidR="00FA3112" w:rsidRPr="007C5909" w14:paraId="2FE296F9" w14:textId="77777777" w:rsidTr="00AC363A">
        <w:trPr>
          <w:trHeight w:val="164"/>
        </w:trPr>
        <w:tc>
          <w:tcPr>
            <w:tcW w:w="3969" w:type="dxa"/>
            <w:vMerge/>
            <w:tcBorders>
              <w:bottom w:val="single" w:sz="4" w:space="0" w:color="auto"/>
            </w:tcBorders>
            <w:shd w:val="clear" w:color="auto" w:fill="auto"/>
            <w:vAlign w:val="center"/>
          </w:tcPr>
          <w:p w14:paraId="65FB868A" w14:textId="77777777" w:rsidR="00FA3112" w:rsidRPr="003337C0" w:rsidRDefault="00FA3112" w:rsidP="003337C0">
            <w:pPr>
              <w:spacing w:line="240" w:lineRule="auto"/>
              <w:jc w:val="left"/>
              <w:rPr>
                <w:sz w:val="18"/>
                <w:szCs w:val="18"/>
                <w:lang w:val="en-GB"/>
              </w:rPr>
            </w:pPr>
          </w:p>
        </w:tc>
        <w:tc>
          <w:tcPr>
            <w:tcW w:w="10066" w:type="dxa"/>
            <w:gridSpan w:val="9"/>
            <w:tcBorders>
              <w:bottom w:val="single" w:sz="4" w:space="0" w:color="auto"/>
            </w:tcBorders>
            <w:shd w:val="clear" w:color="auto" w:fill="auto"/>
            <w:vAlign w:val="center"/>
          </w:tcPr>
          <w:p w14:paraId="7D653D03" w14:textId="77777777" w:rsidR="00FA3112" w:rsidRPr="004D4192" w:rsidRDefault="00FA3112" w:rsidP="003337C0">
            <w:pPr>
              <w:spacing w:line="240" w:lineRule="auto"/>
              <w:jc w:val="center"/>
              <w:rPr>
                <w:sz w:val="18"/>
                <w:szCs w:val="18"/>
                <w:lang w:val="it-IT"/>
              </w:rPr>
            </w:pPr>
            <w:r w:rsidRPr="004D4192">
              <w:rPr>
                <w:sz w:val="18"/>
                <w:szCs w:val="18"/>
                <w:lang w:val="it-IT"/>
              </w:rPr>
              <w:t xml:space="preserve">Scenario I: Certified </w:t>
            </w:r>
            <w:proofErr w:type="spellStart"/>
            <w:r w:rsidRPr="004D4192">
              <w:rPr>
                <w:sz w:val="18"/>
                <w:szCs w:val="18"/>
                <w:lang w:val="it-IT"/>
              </w:rPr>
              <w:t>tail</w:t>
            </w:r>
            <w:proofErr w:type="spellEnd"/>
            <w:r w:rsidRPr="004D4192">
              <w:rPr>
                <w:sz w:val="18"/>
                <w:szCs w:val="18"/>
                <w:lang w:val="it-IT"/>
              </w:rPr>
              <w:t xml:space="preserve">-pipe </w:t>
            </w:r>
            <w:proofErr w:type="spellStart"/>
            <w:r w:rsidRPr="004D4192">
              <w:rPr>
                <w:sz w:val="18"/>
                <w:szCs w:val="18"/>
                <w:lang w:val="it-IT"/>
              </w:rPr>
              <w:t>emissions</w:t>
            </w:r>
            <w:proofErr w:type="spellEnd"/>
          </w:p>
        </w:tc>
      </w:tr>
      <w:tr w:rsidR="003337C0" w:rsidRPr="003337C0" w14:paraId="4D14778B" w14:textId="77777777" w:rsidTr="00AC363A">
        <w:trPr>
          <w:trHeight w:val="164"/>
        </w:trPr>
        <w:tc>
          <w:tcPr>
            <w:tcW w:w="3969" w:type="dxa"/>
            <w:tcBorders>
              <w:bottom w:val="nil"/>
            </w:tcBorders>
            <w:shd w:val="clear" w:color="auto" w:fill="auto"/>
            <w:vAlign w:val="center"/>
          </w:tcPr>
          <w:p w14:paraId="22C6A41A" w14:textId="77777777" w:rsidR="00FA3112" w:rsidRPr="003337C0" w:rsidRDefault="00FA3112" w:rsidP="003337C0">
            <w:pPr>
              <w:spacing w:line="240" w:lineRule="auto"/>
              <w:jc w:val="left"/>
              <w:rPr>
                <w:sz w:val="18"/>
                <w:szCs w:val="18"/>
                <w:lang w:val="en-GB"/>
              </w:rPr>
            </w:pPr>
            <w:r w:rsidRPr="003337C0">
              <w:rPr>
                <w:sz w:val="18"/>
                <w:szCs w:val="18"/>
                <w:lang w:val="en-GB"/>
              </w:rPr>
              <w:t>Electric cars - 6 years lifetime</w:t>
            </w:r>
          </w:p>
        </w:tc>
        <w:tc>
          <w:tcPr>
            <w:tcW w:w="1276" w:type="dxa"/>
            <w:tcBorders>
              <w:bottom w:val="nil"/>
            </w:tcBorders>
            <w:shd w:val="clear" w:color="auto" w:fill="auto"/>
            <w:vAlign w:val="center"/>
          </w:tcPr>
          <w:p w14:paraId="39924486" w14:textId="77777777" w:rsidR="00FA3112" w:rsidRPr="003337C0" w:rsidRDefault="00FA3112" w:rsidP="003337C0">
            <w:pPr>
              <w:spacing w:line="240" w:lineRule="auto"/>
              <w:jc w:val="left"/>
              <w:rPr>
                <w:sz w:val="18"/>
                <w:szCs w:val="18"/>
                <w:lang w:val="en-GB"/>
              </w:rPr>
            </w:pPr>
            <w:r w:rsidRPr="003337C0">
              <w:rPr>
                <w:sz w:val="18"/>
                <w:szCs w:val="18"/>
                <w:lang w:val="en-GB"/>
              </w:rPr>
              <w:t>3026 ± 433</w:t>
            </w:r>
          </w:p>
        </w:tc>
        <w:tc>
          <w:tcPr>
            <w:tcW w:w="1418" w:type="dxa"/>
            <w:gridSpan w:val="2"/>
            <w:tcBorders>
              <w:bottom w:val="nil"/>
            </w:tcBorders>
            <w:shd w:val="clear" w:color="auto" w:fill="auto"/>
            <w:vAlign w:val="center"/>
          </w:tcPr>
          <w:p w14:paraId="3B5BA2AB" w14:textId="77777777" w:rsidR="00FA3112" w:rsidRPr="003337C0" w:rsidRDefault="00FA3112" w:rsidP="003337C0">
            <w:pPr>
              <w:spacing w:line="240" w:lineRule="auto"/>
              <w:jc w:val="left"/>
              <w:rPr>
                <w:sz w:val="18"/>
                <w:szCs w:val="18"/>
                <w:lang w:val="en-GB"/>
              </w:rPr>
            </w:pPr>
            <w:r w:rsidRPr="003337C0">
              <w:rPr>
                <w:sz w:val="18"/>
                <w:szCs w:val="18"/>
                <w:lang w:val="en-GB"/>
              </w:rPr>
              <w:t>2538 ± 288</w:t>
            </w:r>
          </w:p>
        </w:tc>
        <w:tc>
          <w:tcPr>
            <w:tcW w:w="1701" w:type="dxa"/>
            <w:gridSpan w:val="2"/>
            <w:tcBorders>
              <w:bottom w:val="nil"/>
            </w:tcBorders>
            <w:shd w:val="clear" w:color="auto" w:fill="auto"/>
            <w:vAlign w:val="center"/>
          </w:tcPr>
          <w:p w14:paraId="457C59BB" w14:textId="77777777" w:rsidR="00FA3112" w:rsidRPr="003337C0" w:rsidRDefault="00FA3112" w:rsidP="003337C0">
            <w:pPr>
              <w:spacing w:line="240" w:lineRule="auto"/>
              <w:jc w:val="left"/>
              <w:rPr>
                <w:sz w:val="18"/>
                <w:szCs w:val="18"/>
                <w:lang w:val="en-GB"/>
              </w:rPr>
            </w:pPr>
            <w:r w:rsidRPr="003337C0">
              <w:rPr>
                <w:sz w:val="18"/>
                <w:szCs w:val="18"/>
                <w:lang w:val="en-GB"/>
              </w:rPr>
              <w:t>2331 ± 443</w:t>
            </w:r>
          </w:p>
        </w:tc>
        <w:tc>
          <w:tcPr>
            <w:tcW w:w="1559" w:type="dxa"/>
            <w:tcBorders>
              <w:bottom w:val="nil"/>
            </w:tcBorders>
            <w:shd w:val="clear" w:color="auto" w:fill="auto"/>
            <w:vAlign w:val="center"/>
          </w:tcPr>
          <w:p w14:paraId="4E8B2C15" w14:textId="77777777" w:rsidR="00FA3112" w:rsidRPr="003337C0" w:rsidRDefault="00FA3112" w:rsidP="003337C0">
            <w:pPr>
              <w:spacing w:line="240" w:lineRule="auto"/>
              <w:jc w:val="left"/>
              <w:rPr>
                <w:sz w:val="18"/>
                <w:szCs w:val="18"/>
                <w:lang w:val="en-GB"/>
              </w:rPr>
            </w:pPr>
            <w:r w:rsidRPr="003337C0">
              <w:rPr>
                <w:sz w:val="18"/>
                <w:szCs w:val="18"/>
                <w:lang w:val="en-GB"/>
              </w:rPr>
              <w:t>1876 ± 440</w:t>
            </w:r>
          </w:p>
        </w:tc>
        <w:tc>
          <w:tcPr>
            <w:tcW w:w="1417" w:type="dxa"/>
            <w:tcBorders>
              <w:bottom w:val="nil"/>
            </w:tcBorders>
            <w:shd w:val="clear" w:color="auto" w:fill="auto"/>
            <w:vAlign w:val="center"/>
          </w:tcPr>
          <w:p w14:paraId="4C26F09A" w14:textId="77777777" w:rsidR="00FA3112" w:rsidRPr="003337C0" w:rsidRDefault="00FA3112" w:rsidP="003337C0">
            <w:pPr>
              <w:spacing w:line="240" w:lineRule="auto"/>
              <w:jc w:val="left"/>
              <w:rPr>
                <w:sz w:val="18"/>
                <w:szCs w:val="18"/>
                <w:lang w:val="en-GB"/>
              </w:rPr>
            </w:pPr>
            <w:r w:rsidRPr="003337C0">
              <w:rPr>
                <w:sz w:val="18"/>
                <w:szCs w:val="18"/>
                <w:lang w:val="en-GB"/>
              </w:rPr>
              <w:t>1342 ± 601</w:t>
            </w:r>
          </w:p>
        </w:tc>
        <w:tc>
          <w:tcPr>
            <w:tcW w:w="1276" w:type="dxa"/>
            <w:tcBorders>
              <w:bottom w:val="nil"/>
            </w:tcBorders>
            <w:shd w:val="clear" w:color="auto" w:fill="auto"/>
            <w:vAlign w:val="center"/>
          </w:tcPr>
          <w:p w14:paraId="0CE92F05" w14:textId="77777777" w:rsidR="00FA3112" w:rsidRPr="003337C0" w:rsidRDefault="00FA3112" w:rsidP="003337C0">
            <w:pPr>
              <w:spacing w:line="240" w:lineRule="auto"/>
              <w:jc w:val="left"/>
              <w:rPr>
                <w:sz w:val="18"/>
                <w:szCs w:val="18"/>
                <w:lang w:val="en-GB"/>
              </w:rPr>
            </w:pPr>
            <w:r w:rsidRPr="003337C0">
              <w:rPr>
                <w:sz w:val="18"/>
                <w:szCs w:val="18"/>
                <w:lang w:val="en-GB"/>
              </w:rPr>
              <w:t>1008 ± 512</w:t>
            </w:r>
          </w:p>
        </w:tc>
        <w:tc>
          <w:tcPr>
            <w:tcW w:w="1419" w:type="dxa"/>
            <w:tcBorders>
              <w:bottom w:val="nil"/>
            </w:tcBorders>
            <w:shd w:val="clear" w:color="auto" w:fill="auto"/>
            <w:vAlign w:val="center"/>
          </w:tcPr>
          <w:p w14:paraId="68BD9BF2" w14:textId="77777777" w:rsidR="00FA3112" w:rsidRPr="003337C0" w:rsidRDefault="00FA3112" w:rsidP="003337C0">
            <w:pPr>
              <w:spacing w:line="240" w:lineRule="auto"/>
              <w:jc w:val="left"/>
              <w:rPr>
                <w:sz w:val="18"/>
                <w:szCs w:val="18"/>
                <w:lang w:val="en-GB"/>
              </w:rPr>
            </w:pPr>
            <w:r w:rsidRPr="003337C0">
              <w:rPr>
                <w:sz w:val="18"/>
                <w:szCs w:val="18"/>
                <w:lang w:val="en-GB"/>
              </w:rPr>
              <w:t>999 ± 312</w:t>
            </w:r>
          </w:p>
        </w:tc>
      </w:tr>
      <w:tr w:rsidR="003337C0" w:rsidRPr="003337C0" w14:paraId="53580B73" w14:textId="77777777" w:rsidTr="00AC363A">
        <w:trPr>
          <w:trHeight w:val="164"/>
        </w:trPr>
        <w:tc>
          <w:tcPr>
            <w:tcW w:w="3969" w:type="dxa"/>
            <w:tcBorders>
              <w:top w:val="nil"/>
              <w:bottom w:val="single" w:sz="4" w:space="0" w:color="auto"/>
            </w:tcBorders>
            <w:shd w:val="clear" w:color="auto" w:fill="auto"/>
            <w:vAlign w:val="center"/>
          </w:tcPr>
          <w:p w14:paraId="253AE72A" w14:textId="77777777" w:rsidR="00FA3112" w:rsidRPr="003337C0" w:rsidRDefault="00FA3112" w:rsidP="003337C0">
            <w:pPr>
              <w:spacing w:line="240" w:lineRule="auto"/>
              <w:jc w:val="left"/>
              <w:rPr>
                <w:sz w:val="18"/>
                <w:szCs w:val="18"/>
                <w:lang w:val="en-GB"/>
              </w:rPr>
            </w:pPr>
            <w:r w:rsidRPr="003337C0">
              <w:rPr>
                <w:sz w:val="18"/>
                <w:szCs w:val="18"/>
                <w:lang w:val="en-GB"/>
              </w:rPr>
              <w:t>Electric cars - 11 years lifetime</w:t>
            </w:r>
          </w:p>
        </w:tc>
        <w:tc>
          <w:tcPr>
            <w:tcW w:w="1276" w:type="dxa"/>
            <w:tcBorders>
              <w:top w:val="nil"/>
              <w:bottom w:val="single" w:sz="4" w:space="0" w:color="auto"/>
            </w:tcBorders>
            <w:shd w:val="clear" w:color="auto" w:fill="auto"/>
            <w:vAlign w:val="center"/>
          </w:tcPr>
          <w:p w14:paraId="5FC2FDAA" w14:textId="77777777" w:rsidR="00FA3112" w:rsidRPr="003337C0" w:rsidRDefault="00FA3112" w:rsidP="003337C0">
            <w:pPr>
              <w:spacing w:line="240" w:lineRule="auto"/>
              <w:jc w:val="left"/>
              <w:rPr>
                <w:sz w:val="18"/>
                <w:szCs w:val="18"/>
                <w:lang w:val="en-GB"/>
              </w:rPr>
            </w:pPr>
            <w:r w:rsidRPr="003337C0">
              <w:rPr>
                <w:sz w:val="18"/>
                <w:szCs w:val="18"/>
                <w:lang w:val="en-GB"/>
              </w:rPr>
              <w:t>1660 ± 256</w:t>
            </w:r>
          </w:p>
        </w:tc>
        <w:tc>
          <w:tcPr>
            <w:tcW w:w="1418" w:type="dxa"/>
            <w:gridSpan w:val="2"/>
            <w:tcBorders>
              <w:top w:val="nil"/>
              <w:bottom w:val="single" w:sz="4" w:space="0" w:color="auto"/>
            </w:tcBorders>
            <w:shd w:val="clear" w:color="auto" w:fill="auto"/>
            <w:vAlign w:val="center"/>
          </w:tcPr>
          <w:p w14:paraId="568A4091" w14:textId="77777777" w:rsidR="00FA3112" w:rsidRPr="003337C0" w:rsidRDefault="00FA3112" w:rsidP="003337C0">
            <w:pPr>
              <w:spacing w:line="240" w:lineRule="auto"/>
              <w:jc w:val="left"/>
              <w:rPr>
                <w:sz w:val="18"/>
                <w:szCs w:val="18"/>
                <w:lang w:val="en-GB"/>
              </w:rPr>
            </w:pPr>
            <w:r w:rsidRPr="003337C0">
              <w:rPr>
                <w:sz w:val="18"/>
                <w:szCs w:val="18"/>
                <w:lang w:val="en-GB"/>
              </w:rPr>
              <w:t>1378 ± 249</w:t>
            </w:r>
          </w:p>
        </w:tc>
        <w:tc>
          <w:tcPr>
            <w:tcW w:w="1701" w:type="dxa"/>
            <w:gridSpan w:val="2"/>
            <w:tcBorders>
              <w:top w:val="nil"/>
              <w:bottom w:val="single" w:sz="4" w:space="0" w:color="auto"/>
            </w:tcBorders>
            <w:shd w:val="clear" w:color="auto" w:fill="auto"/>
            <w:vAlign w:val="center"/>
          </w:tcPr>
          <w:p w14:paraId="10DBE467" w14:textId="77777777" w:rsidR="00FA3112" w:rsidRPr="003337C0" w:rsidRDefault="00FA3112" w:rsidP="003337C0">
            <w:pPr>
              <w:spacing w:line="240" w:lineRule="auto"/>
              <w:jc w:val="left"/>
              <w:rPr>
                <w:sz w:val="18"/>
                <w:szCs w:val="18"/>
                <w:lang w:val="en-GB"/>
              </w:rPr>
            </w:pPr>
            <w:r w:rsidRPr="003337C0">
              <w:rPr>
                <w:sz w:val="18"/>
                <w:szCs w:val="18"/>
                <w:lang w:val="en-GB"/>
              </w:rPr>
              <w:t>1188 ± 240</w:t>
            </w:r>
          </w:p>
        </w:tc>
        <w:tc>
          <w:tcPr>
            <w:tcW w:w="1559" w:type="dxa"/>
            <w:tcBorders>
              <w:top w:val="nil"/>
              <w:bottom w:val="single" w:sz="4" w:space="0" w:color="auto"/>
            </w:tcBorders>
            <w:shd w:val="clear" w:color="auto" w:fill="auto"/>
            <w:vAlign w:val="center"/>
          </w:tcPr>
          <w:p w14:paraId="5ED60235" w14:textId="77777777" w:rsidR="00FA3112" w:rsidRPr="003337C0" w:rsidRDefault="00FA3112" w:rsidP="003337C0">
            <w:pPr>
              <w:spacing w:line="240" w:lineRule="auto"/>
              <w:jc w:val="left"/>
              <w:rPr>
                <w:sz w:val="18"/>
                <w:szCs w:val="18"/>
                <w:lang w:val="en-GB"/>
              </w:rPr>
            </w:pPr>
            <w:r w:rsidRPr="003337C0">
              <w:rPr>
                <w:sz w:val="18"/>
                <w:szCs w:val="18"/>
                <w:lang w:val="en-GB"/>
              </w:rPr>
              <w:t>1017 ± 287</w:t>
            </w:r>
          </w:p>
        </w:tc>
        <w:tc>
          <w:tcPr>
            <w:tcW w:w="1417" w:type="dxa"/>
            <w:tcBorders>
              <w:top w:val="nil"/>
              <w:bottom w:val="single" w:sz="4" w:space="0" w:color="auto"/>
            </w:tcBorders>
            <w:shd w:val="clear" w:color="auto" w:fill="auto"/>
            <w:vAlign w:val="center"/>
          </w:tcPr>
          <w:p w14:paraId="531F8D56" w14:textId="77777777" w:rsidR="00FA3112" w:rsidRPr="003337C0" w:rsidRDefault="00FA3112" w:rsidP="003337C0">
            <w:pPr>
              <w:spacing w:line="240" w:lineRule="auto"/>
              <w:jc w:val="left"/>
              <w:rPr>
                <w:sz w:val="18"/>
                <w:szCs w:val="18"/>
                <w:lang w:val="en-GB"/>
              </w:rPr>
            </w:pPr>
            <w:r w:rsidRPr="003337C0">
              <w:rPr>
                <w:sz w:val="18"/>
                <w:szCs w:val="18"/>
                <w:lang w:val="en-GB"/>
              </w:rPr>
              <w:t>682 ± 407</w:t>
            </w:r>
          </w:p>
        </w:tc>
        <w:tc>
          <w:tcPr>
            <w:tcW w:w="1276" w:type="dxa"/>
            <w:tcBorders>
              <w:top w:val="nil"/>
              <w:bottom w:val="single" w:sz="4" w:space="0" w:color="auto"/>
            </w:tcBorders>
            <w:shd w:val="clear" w:color="auto" w:fill="auto"/>
            <w:vAlign w:val="center"/>
          </w:tcPr>
          <w:p w14:paraId="7C7DED29" w14:textId="77777777" w:rsidR="00FA3112" w:rsidRPr="003337C0" w:rsidRDefault="00FA3112" w:rsidP="003337C0">
            <w:pPr>
              <w:spacing w:line="240" w:lineRule="auto"/>
              <w:jc w:val="left"/>
              <w:rPr>
                <w:sz w:val="18"/>
                <w:szCs w:val="18"/>
                <w:lang w:val="en-GB"/>
              </w:rPr>
            </w:pPr>
            <w:r w:rsidRPr="003337C0">
              <w:rPr>
                <w:sz w:val="18"/>
                <w:szCs w:val="18"/>
                <w:lang w:val="en-GB"/>
              </w:rPr>
              <w:t>376 ± 379</w:t>
            </w:r>
          </w:p>
        </w:tc>
        <w:tc>
          <w:tcPr>
            <w:tcW w:w="1419" w:type="dxa"/>
            <w:tcBorders>
              <w:top w:val="nil"/>
              <w:bottom w:val="single" w:sz="4" w:space="0" w:color="auto"/>
            </w:tcBorders>
            <w:shd w:val="clear" w:color="auto" w:fill="auto"/>
            <w:vAlign w:val="center"/>
          </w:tcPr>
          <w:p w14:paraId="060044B2" w14:textId="77777777" w:rsidR="00FA3112" w:rsidRPr="003337C0" w:rsidRDefault="00FA3112" w:rsidP="003337C0">
            <w:pPr>
              <w:spacing w:line="240" w:lineRule="auto"/>
              <w:jc w:val="left"/>
              <w:rPr>
                <w:sz w:val="18"/>
                <w:szCs w:val="18"/>
                <w:lang w:val="en-GB"/>
              </w:rPr>
            </w:pPr>
            <w:r w:rsidRPr="003337C0">
              <w:rPr>
                <w:sz w:val="18"/>
                <w:szCs w:val="18"/>
                <w:lang w:val="en-GB"/>
              </w:rPr>
              <w:t>414 ± 289</w:t>
            </w:r>
          </w:p>
        </w:tc>
      </w:tr>
      <w:tr w:rsidR="00FA3112" w:rsidRPr="003337C0" w14:paraId="641DA342" w14:textId="77777777" w:rsidTr="00AC363A">
        <w:trPr>
          <w:trHeight w:val="164"/>
        </w:trPr>
        <w:tc>
          <w:tcPr>
            <w:tcW w:w="3969" w:type="dxa"/>
            <w:tcBorders>
              <w:bottom w:val="nil"/>
            </w:tcBorders>
            <w:shd w:val="clear" w:color="auto" w:fill="D9D9D9" w:themeFill="background1" w:themeFillShade="D9"/>
            <w:vAlign w:val="center"/>
          </w:tcPr>
          <w:p w14:paraId="73BC09C0"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- 6 years lifetime</w:t>
            </w:r>
          </w:p>
        </w:tc>
        <w:tc>
          <w:tcPr>
            <w:tcW w:w="1276" w:type="dxa"/>
            <w:tcBorders>
              <w:bottom w:val="nil"/>
            </w:tcBorders>
            <w:shd w:val="clear" w:color="auto" w:fill="D9D9D9" w:themeFill="background1" w:themeFillShade="D9"/>
            <w:vAlign w:val="center"/>
          </w:tcPr>
          <w:p w14:paraId="0FCEF5D3"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bottom w:val="nil"/>
            </w:tcBorders>
            <w:shd w:val="clear" w:color="auto" w:fill="D9D9D9" w:themeFill="background1" w:themeFillShade="D9"/>
            <w:vAlign w:val="center"/>
          </w:tcPr>
          <w:p w14:paraId="11B968DC" w14:textId="77777777" w:rsidR="00FA3112" w:rsidRPr="003337C0" w:rsidRDefault="00FA3112" w:rsidP="003337C0">
            <w:pPr>
              <w:spacing w:line="240" w:lineRule="auto"/>
              <w:jc w:val="left"/>
              <w:rPr>
                <w:sz w:val="18"/>
                <w:szCs w:val="18"/>
                <w:lang w:val="en-GB"/>
              </w:rPr>
            </w:pPr>
            <w:r w:rsidRPr="003337C0">
              <w:rPr>
                <w:sz w:val="18"/>
                <w:szCs w:val="18"/>
                <w:lang w:val="en-GB"/>
              </w:rPr>
              <w:t>1443</w:t>
            </w:r>
            <w:r w:rsidRPr="003337C0">
              <w:rPr>
                <w:sz w:val="18"/>
                <w:szCs w:val="18"/>
                <w:vertAlign w:val="superscript"/>
                <w:lang w:val="en-GB"/>
              </w:rPr>
              <w:t>a</w:t>
            </w:r>
          </w:p>
        </w:tc>
        <w:tc>
          <w:tcPr>
            <w:tcW w:w="1701" w:type="dxa"/>
            <w:gridSpan w:val="2"/>
            <w:tcBorders>
              <w:bottom w:val="nil"/>
            </w:tcBorders>
            <w:shd w:val="clear" w:color="auto" w:fill="D9D9D9" w:themeFill="background1" w:themeFillShade="D9"/>
            <w:vAlign w:val="center"/>
          </w:tcPr>
          <w:p w14:paraId="10F88529" w14:textId="77777777" w:rsidR="00FA3112" w:rsidRPr="003337C0" w:rsidRDefault="00FA3112" w:rsidP="003337C0">
            <w:pPr>
              <w:spacing w:line="240" w:lineRule="auto"/>
              <w:jc w:val="left"/>
              <w:rPr>
                <w:sz w:val="18"/>
                <w:szCs w:val="18"/>
                <w:lang w:val="en-GB"/>
              </w:rPr>
            </w:pPr>
            <w:r w:rsidRPr="003337C0">
              <w:rPr>
                <w:sz w:val="18"/>
                <w:szCs w:val="18"/>
                <w:lang w:val="en-GB"/>
              </w:rPr>
              <w:t>3425 ± 903</w:t>
            </w:r>
          </w:p>
        </w:tc>
        <w:tc>
          <w:tcPr>
            <w:tcW w:w="1559" w:type="dxa"/>
            <w:tcBorders>
              <w:bottom w:val="nil"/>
            </w:tcBorders>
            <w:shd w:val="clear" w:color="auto" w:fill="D9D9D9" w:themeFill="background1" w:themeFillShade="D9"/>
            <w:vAlign w:val="center"/>
          </w:tcPr>
          <w:p w14:paraId="29192314" w14:textId="77777777" w:rsidR="00FA3112" w:rsidRPr="003337C0" w:rsidRDefault="00FA3112" w:rsidP="003337C0">
            <w:pPr>
              <w:spacing w:line="240" w:lineRule="auto"/>
              <w:jc w:val="left"/>
              <w:rPr>
                <w:sz w:val="18"/>
                <w:szCs w:val="18"/>
                <w:lang w:val="en-GB"/>
              </w:rPr>
            </w:pPr>
            <w:r w:rsidRPr="003337C0">
              <w:rPr>
                <w:sz w:val="18"/>
                <w:szCs w:val="18"/>
                <w:lang w:val="en-GB"/>
              </w:rPr>
              <w:t>1376 ± 1015</w:t>
            </w:r>
          </w:p>
        </w:tc>
        <w:tc>
          <w:tcPr>
            <w:tcW w:w="1417" w:type="dxa"/>
            <w:tcBorders>
              <w:bottom w:val="nil"/>
            </w:tcBorders>
            <w:shd w:val="clear" w:color="auto" w:fill="D9D9D9" w:themeFill="background1" w:themeFillShade="D9"/>
            <w:vAlign w:val="center"/>
          </w:tcPr>
          <w:p w14:paraId="44637E0C" w14:textId="77777777" w:rsidR="00FA3112" w:rsidRPr="003337C0" w:rsidRDefault="00FA3112" w:rsidP="003337C0">
            <w:pPr>
              <w:spacing w:line="240" w:lineRule="auto"/>
              <w:jc w:val="left"/>
              <w:rPr>
                <w:sz w:val="18"/>
                <w:szCs w:val="18"/>
                <w:lang w:val="en-GB"/>
              </w:rPr>
            </w:pPr>
            <w:r w:rsidRPr="003337C0">
              <w:rPr>
                <w:sz w:val="18"/>
                <w:szCs w:val="18"/>
                <w:lang w:val="en-GB"/>
              </w:rPr>
              <w:t>750 ± 706</w:t>
            </w:r>
          </w:p>
        </w:tc>
        <w:tc>
          <w:tcPr>
            <w:tcW w:w="1276" w:type="dxa"/>
            <w:tcBorders>
              <w:bottom w:val="nil"/>
            </w:tcBorders>
            <w:shd w:val="clear" w:color="auto" w:fill="D9D9D9" w:themeFill="background1" w:themeFillShade="D9"/>
            <w:vAlign w:val="center"/>
          </w:tcPr>
          <w:p w14:paraId="37E76CA6" w14:textId="77777777" w:rsidR="00FA3112" w:rsidRPr="003337C0" w:rsidRDefault="00FA3112" w:rsidP="003337C0">
            <w:pPr>
              <w:spacing w:line="240" w:lineRule="auto"/>
              <w:jc w:val="left"/>
              <w:rPr>
                <w:sz w:val="18"/>
                <w:szCs w:val="18"/>
                <w:lang w:val="en-GB"/>
              </w:rPr>
            </w:pPr>
            <w:r w:rsidRPr="003337C0">
              <w:rPr>
                <w:sz w:val="18"/>
                <w:szCs w:val="18"/>
                <w:lang w:val="en-GB"/>
              </w:rPr>
              <w:t>527 ± 750</w:t>
            </w:r>
          </w:p>
        </w:tc>
        <w:tc>
          <w:tcPr>
            <w:tcW w:w="1419" w:type="dxa"/>
            <w:tcBorders>
              <w:bottom w:val="nil"/>
            </w:tcBorders>
            <w:shd w:val="clear" w:color="auto" w:fill="D9D9D9" w:themeFill="background1" w:themeFillShade="D9"/>
            <w:vAlign w:val="center"/>
          </w:tcPr>
          <w:p w14:paraId="443FF16C" w14:textId="77777777" w:rsidR="00FA3112" w:rsidRPr="003337C0" w:rsidRDefault="00FA3112" w:rsidP="003337C0">
            <w:pPr>
              <w:spacing w:line="240" w:lineRule="auto"/>
              <w:jc w:val="left"/>
              <w:rPr>
                <w:sz w:val="18"/>
                <w:szCs w:val="18"/>
                <w:lang w:val="en-GB"/>
              </w:rPr>
            </w:pPr>
            <w:r w:rsidRPr="003337C0">
              <w:rPr>
                <w:sz w:val="18"/>
                <w:szCs w:val="18"/>
                <w:lang w:val="en-GB"/>
              </w:rPr>
              <w:t>505 ± 668</w:t>
            </w:r>
          </w:p>
        </w:tc>
      </w:tr>
      <w:tr w:rsidR="00FA3112" w:rsidRPr="003337C0" w14:paraId="04D977A1" w14:textId="77777777" w:rsidTr="00AC363A">
        <w:trPr>
          <w:trHeight w:val="164"/>
        </w:trPr>
        <w:tc>
          <w:tcPr>
            <w:tcW w:w="3969" w:type="dxa"/>
            <w:tcBorders>
              <w:top w:val="nil"/>
            </w:tcBorders>
            <w:shd w:val="clear" w:color="auto" w:fill="D9D9D9" w:themeFill="background1" w:themeFillShade="D9"/>
            <w:vAlign w:val="center"/>
          </w:tcPr>
          <w:p w14:paraId="600D11D0"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- 11 years lifetime</w:t>
            </w:r>
          </w:p>
        </w:tc>
        <w:tc>
          <w:tcPr>
            <w:tcW w:w="1276" w:type="dxa"/>
            <w:tcBorders>
              <w:top w:val="nil"/>
            </w:tcBorders>
            <w:shd w:val="clear" w:color="auto" w:fill="D9D9D9" w:themeFill="background1" w:themeFillShade="D9"/>
            <w:vAlign w:val="center"/>
          </w:tcPr>
          <w:p w14:paraId="7071358C"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top w:val="nil"/>
            </w:tcBorders>
            <w:shd w:val="clear" w:color="auto" w:fill="D9D9D9" w:themeFill="background1" w:themeFillShade="D9"/>
            <w:vAlign w:val="center"/>
          </w:tcPr>
          <w:p w14:paraId="422025A9" w14:textId="77777777" w:rsidR="00FA3112" w:rsidRPr="003337C0" w:rsidRDefault="00FA3112" w:rsidP="003337C0">
            <w:pPr>
              <w:spacing w:line="240" w:lineRule="auto"/>
              <w:jc w:val="left"/>
              <w:rPr>
                <w:sz w:val="18"/>
                <w:szCs w:val="18"/>
                <w:lang w:val="en-GB"/>
              </w:rPr>
            </w:pPr>
            <w:r w:rsidRPr="003337C0">
              <w:rPr>
                <w:sz w:val="18"/>
                <w:szCs w:val="18"/>
                <w:lang w:val="en-GB"/>
              </w:rPr>
              <w:t>628</w:t>
            </w:r>
            <w:r w:rsidRPr="003337C0">
              <w:rPr>
                <w:sz w:val="18"/>
                <w:szCs w:val="18"/>
                <w:vertAlign w:val="superscript"/>
                <w:lang w:val="en-GB"/>
              </w:rPr>
              <w:t>a</w:t>
            </w:r>
          </w:p>
        </w:tc>
        <w:tc>
          <w:tcPr>
            <w:tcW w:w="1701" w:type="dxa"/>
            <w:gridSpan w:val="2"/>
            <w:tcBorders>
              <w:top w:val="nil"/>
            </w:tcBorders>
            <w:shd w:val="clear" w:color="auto" w:fill="D9D9D9" w:themeFill="background1" w:themeFillShade="D9"/>
            <w:vAlign w:val="center"/>
          </w:tcPr>
          <w:p w14:paraId="66518A27" w14:textId="77777777" w:rsidR="00FA3112" w:rsidRPr="003337C0" w:rsidRDefault="00FA3112" w:rsidP="003337C0">
            <w:pPr>
              <w:spacing w:line="240" w:lineRule="auto"/>
              <w:jc w:val="left"/>
              <w:rPr>
                <w:sz w:val="18"/>
                <w:szCs w:val="18"/>
                <w:lang w:val="en-GB"/>
              </w:rPr>
            </w:pPr>
            <w:r w:rsidRPr="003337C0">
              <w:rPr>
                <w:sz w:val="18"/>
                <w:szCs w:val="18"/>
                <w:lang w:val="en-GB"/>
              </w:rPr>
              <w:t>1738 ± 505</w:t>
            </w:r>
          </w:p>
        </w:tc>
        <w:tc>
          <w:tcPr>
            <w:tcW w:w="1559" w:type="dxa"/>
            <w:tcBorders>
              <w:top w:val="nil"/>
            </w:tcBorders>
            <w:shd w:val="clear" w:color="auto" w:fill="D9D9D9" w:themeFill="background1" w:themeFillShade="D9"/>
            <w:vAlign w:val="center"/>
          </w:tcPr>
          <w:p w14:paraId="612DD820" w14:textId="77777777" w:rsidR="00FA3112" w:rsidRPr="003337C0" w:rsidRDefault="00FA3112" w:rsidP="003337C0">
            <w:pPr>
              <w:spacing w:line="240" w:lineRule="auto"/>
              <w:jc w:val="left"/>
              <w:rPr>
                <w:sz w:val="18"/>
                <w:szCs w:val="18"/>
                <w:lang w:val="en-GB"/>
              </w:rPr>
            </w:pPr>
            <w:r w:rsidRPr="003337C0">
              <w:rPr>
                <w:sz w:val="18"/>
                <w:szCs w:val="18"/>
                <w:lang w:val="en-GB"/>
              </w:rPr>
              <w:t>655 ± 630</w:t>
            </w:r>
          </w:p>
        </w:tc>
        <w:tc>
          <w:tcPr>
            <w:tcW w:w="1417" w:type="dxa"/>
            <w:tcBorders>
              <w:top w:val="nil"/>
            </w:tcBorders>
            <w:shd w:val="clear" w:color="auto" w:fill="D9D9D9" w:themeFill="background1" w:themeFillShade="D9"/>
            <w:vAlign w:val="center"/>
          </w:tcPr>
          <w:p w14:paraId="36C93B49" w14:textId="77777777" w:rsidR="00FA3112" w:rsidRPr="003337C0" w:rsidRDefault="00FA3112" w:rsidP="003337C0">
            <w:pPr>
              <w:spacing w:line="240" w:lineRule="auto"/>
              <w:jc w:val="left"/>
              <w:rPr>
                <w:sz w:val="18"/>
                <w:szCs w:val="18"/>
                <w:lang w:val="en-GB"/>
              </w:rPr>
            </w:pPr>
            <w:r w:rsidRPr="003337C0">
              <w:rPr>
                <w:sz w:val="18"/>
                <w:szCs w:val="18"/>
                <w:lang w:val="en-GB"/>
              </w:rPr>
              <w:t>282 ± 459</w:t>
            </w:r>
          </w:p>
        </w:tc>
        <w:tc>
          <w:tcPr>
            <w:tcW w:w="1276" w:type="dxa"/>
            <w:tcBorders>
              <w:top w:val="nil"/>
            </w:tcBorders>
            <w:shd w:val="clear" w:color="auto" w:fill="D9D9D9" w:themeFill="background1" w:themeFillShade="D9"/>
            <w:vAlign w:val="center"/>
          </w:tcPr>
          <w:p w14:paraId="60F43C6E" w14:textId="77777777" w:rsidR="00FA3112" w:rsidRPr="003337C0" w:rsidRDefault="00FA3112" w:rsidP="003337C0">
            <w:pPr>
              <w:spacing w:line="240" w:lineRule="auto"/>
              <w:jc w:val="left"/>
              <w:rPr>
                <w:sz w:val="18"/>
                <w:szCs w:val="18"/>
                <w:lang w:val="en-GB"/>
              </w:rPr>
            </w:pPr>
            <w:r w:rsidRPr="003337C0">
              <w:rPr>
                <w:sz w:val="18"/>
                <w:szCs w:val="18"/>
                <w:lang w:val="en-GB"/>
              </w:rPr>
              <w:t>152 ± 485</w:t>
            </w:r>
          </w:p>
        </w:tc>
        <w:tc>
          <w:tcPr>
            <w:tcW w:w="1419" w:type="dxa"/>
            <w:tcBorders>
              <w:top w:val="nil"/>
            </w:tcBorders>
            <w:shd w:val="clear" w:color="auto" w:fill="D9D9D9" w:themeFill="background1" w:themeFillShade="D9"/>
            <w:vAlign w:val="center"/>
          </w:tcPr>
          <w:p w14:paraId="14BF2ACB" w14:textId="77777777" w:rsidR="00FA3112" w:rsidRPr="003337C0" w:rsidRDefault="00FA3112" w:rsidP="003337C0">
            <w:pPr>
              <w:spacing w:line="240" w:lineRule="auto"/>
              <w:jc w:val="left"/>
              <w:rPr>
                <w:sz w:val="18"/>
                <w:szCs w:val="18"/>
                <w:lang w:val="en-GB"/>
              </w:rPr>
            </w:pPr>
            <w:r w:rsidRPr="003337C0">
              <w:rPr>
                <w:sz w:val="18"/>
                <w:szCs w:val="18"/>
                <w:lang w:val="en-GB"/>
              </w:rPr>
              <w:t>137 ± 418</w:t>
            </w:r>
          </w:p>
        </w:tc>
      </w:tr>
      <w:tr w:rsidR="00FA3112" w:rsidRPr="007C5909" w14:paraId="6A7D5657" w14:textId="77777777" w:rsidTr="00AC363A">
        <w:trPr>
          <w:trHeight w:val="164"/>
        </w:trPr>
        <w:tc>
          <w:tcPr>
            <w:tcW w:w="3969" w:type="dxa"/>
            <w:tcBorders>
              <w:bottom w:val="single" w:sz="4" w:space="0" w:color="auto"/>
            </w:tcBorders>
            <w:vAlign w:val="center"/>
          </w:tcPr>
          <w:p w14:paraId="25CF12B6" w14:textId="77777777" w:rsidR="00FA3112" w:rsidRPr="003337C0" w:rsidRDefault="00FA3112" w:rsidP="003337C0">
            <w:pPr>
              <w:spacing w:line="240" w:lineRule="auto"/>
              <w:jc w:val="left"/>
              <w:rPr>
                <w:sz w:val="18"/>
                <w:szCs w:val="18"/>
                <w:lang w:val="en-GB"/>
              </w:rPr>
            </w:pPr>
          </w:p>
        </w:tc>
        <w:tc>
          <w:tcPr>
            <w:tcW w:w="10066" w:type="dxa"/>
            <w:gridSpan w:val="9"/>
            <w:tcBorders>
              <w:bottom w:val="single" w:sz="4" w:space="0" w:color="auto"/>
            </w:tcBorders>
            <w:vAlign w:val="center"/>
          </w:tcPr>
          <w:p w14:paraId="140DA4F0" w14:textId="77777777" w:rsidR="00FA3112" w:rsidRPr="003337C0" w:rsidRDefault="00FA3112" w:rsidP="003337C0">
            <w:pPr>
              <w:spacing w:line="240" w:lineRule="auto"/>
              <w:jc w:val="center"/>
              <w:rPr>
                <w:sz w:val="18"/>
                <w:szCs w:val="18"/>
                <w:lang w:val="en-GB"/>
              </w:rPr>
            </w:pPr>
            <w:r w:rsidRPr="003337C0">
              <w:rPr>
                <w:sz w:val="18"/>
                <w:szCs w:val="18"/>
                <w:lang w:val="en-GB"/>
              </w:rPr>
              <w:t>Scenario II: Real-world tailpipe emissions on the road</w:t>
            </w:r>
          </w:p>
        </w:tc>
      </w:tr>
      <w:tr w:rsidR="003337C0" w:rsidRPr="003337C0" w14:paraId="5F3A1B48" w14:textId="77777777" w:rsidTr="00AC363A">
        <w:trPr>
          <w:trHeight w:val="164"/>
        </w:trPr>
        <w:tc>
          <w:tcPr>
            <w:tcW w:w="3969" w:type="dxa"/>
            <w:tcBorders>
              <w:bottom w:val="nil"/>
            </w:tcBorders>
            <w:shd w:val="clear" w:color="auto" w:fill="auto"/>
            <w:vAlign w:val="center"/>
          </w:tcPr>
          <w:p w14:paraId="65662890" w14:textId="77777777" w:rsidR="00FA3112" w:rsidRPr="003337C0" w:rsidRDefault="00FA3112" w:rsidP="003337C0">
            <w:pPr>
              <w:spacing w:line="240" w:lineRule="auto"/>
              <w:jc w:val="left"/>
              <w:rPr>
                <w:sz w:val="18"/>
                <w:szCs w:val="18"/>
                <w:lang w:val="en-GB"/>
              </w:rPr>
            </w:pPr>
            <w:r w:rsidRPr="003337C0">
              <w:rPr>
                <w:sz w:val="18"/>
                <w:szCs w:val="18"/>
                <w:lang w:val="en-GB"/>
              </w:rPr>
              <w:t>Electric cars - 6 years lifetime</w:t>
            </w:r>
          </w:p>
        </w:tc>
        <w:tc>
          <w:tcPr>
            <w:tcW w:w="1276" w:type="dxa"/>
            <w:tcBorders>
              <w:bottom w:val="nil"/>
            </w:tcBorders>
            <w:shd w:val="clear" w:color="auto" w:fill="auto"/>
            <w:vAlign w:val="center"/>
          </w:tcPr>
          <w:p w14:paraId="1B2EF7CD" w14:textId="77777777" w:rsidR="00FA3112" w:rsidRPr="003337C0" w:rsidRDefault="00FA3112" w:rsidP="003337C0">
            <w:pPr>
              <w:spacing w:line="240" w:lineRule="auto"/>
              <w:jc w:val="left"/>
              <w:rPr>
                <w:sz w:val="18"/>
                <w:szCs w:val="18"/>
                <w:lang w:val="en-GB"/>
              </w:rPr>
            </w:pPr>
            <w:r w:rsidRPr="003337C0">
              <w:rPr>
                <w:sz w:val="18"/>
                <w:szCs w:val="18"/>
                <w:lang w:val="en-GB"/>
              </w:rPr>
              <w:t>2402 ± 330</w:t>
            </w:r>
          </w:p>
        </w:tc>
        <w:tc>
          <w:tcPr>
            <w:tcW w:w="1418" w:type="dxa"/>
            <w:gridSpan w:val="2"/>
            <w:tcBorders>
              <w:bottom w:val="nil"/>
            </w:tcBorders>
            <w:shd w:val="clear" w:color="auto" w:fill="auto"/>
            <w:vAlign w:val="center"/>
          </w:tcPr>
          <w:p w14:paraId="73E544FE" w14:textId="77777777" w:rsidR="00FA3112" w:rsidRPr="003337C0" w:rsidRDefault="00FA3112" w:rsidP="003337C0">
            <w:pPr>
              <w:spacing w:line="240" w:lineRule="auto"/>
              <w:jc w:val="left"/>
              <w:rPr>
                <w:sz w:val="18"/>
                <w:szCs w:val="18"/>
                <w:lang w:val="en-GB"/>
              </w:rPr>
            </w:pPr>
            <w:r w:rsidRPr="003337C0">
              <w:rPr>
                <w:sz w:val="18"/>
                <w:szCs w:val="18"/>
                <w:lang w:val="en-GB"/>
              </w:rPr>
              <w:t>1976 ± 224</w:t>
            </w:r>
          </w:p>
        </w:tc>
        <w:tc>
          <w:tcPr>
            <w:tcW w:w="1701" w:type="dxa"/>
            <w:gridSpan w:val="2"/>
            <w:tcBorders>
              <w:bottom w:val="nil"/>
            </w:tcBorders>
            <w:shd w:val="clear" w:color="auto" w:fill="auto"/>
            <w:vAlign w:val="center"/>
          </w:tcPr>
          <w:p w14:paraId="3D94B617" w14:textId="77777777" w:rsidR="00FA3112" w:rsidRPr="003337C0" w:rsidRDefault="00FA3112" w:rsidP="003337C0">
            <w:pPr>
              <w:spacing w:line="240" w:lineRule="auto"/>
              <w:jc w:val="left"/>
              <w:rPr>
                <w:sz w:val="18"/>
                <w:szCs w:val="18"/>
                <w:lang w:val="en-GB"/>
              </w:rPr>
            </w:pPr>
            <w:r w:rsidRPr="003337C0">
              <w:rPr>
                <w:sz w:val="18"/>
                <w:szCs w:val="18"/>
                <w:lang w:val="en-GB"/>
              </w:rPr>
              <w:t>1786 ± 339</w:t>
            </w:r>
          </w:p>
        </w:tc>
        <w:tc>
          <w:tcPr>
            <w:tcW w:w="1559" w:type="dxa"/>
            <w:tcBorders>
              <w:bottom w:val="nil"/>
            </w:tcBorders>
            <w:shd w:val="clear" w:color="auto" w:fill="auto"/>
            <w:vAlign w:val="center"/>
          </w:tcPr>
          <w:p w14:paraId="0D1A66E7" w14:textId="77777777" w:rsidR="00FA3112" w:rsidRPr="003337C0" w:rsidRDefault="00FA3112" w:rsidP="003337C0">
            <w:pPr>
              <w:spacing w:line="240" w:lineRule="auto"/>
              <w:jc w:val="left"/>
              <w:rPr>
                <w:sz w:val="18"/>
                <w:szCs w:val="18"/>
                <w:lang w:val="en-GB"/>
              </w:rPr>
            </w:pPr>
            <w:r w:rsidRPr="003337C0">
              <w:rPr>
                <w:sz w:val="18"/>
                <w:szCs w:val="18"/>
                <w:lang w:val="en-GB"/>
              </w:rPr>
              <w:t>1380 ± 324</w:t>
            </w:r>
          </w:p>
        </w:tc>
        <w:tc>
          <w:tcPr>
            <w:tcW w:w="1417" w:type="dxa"/>
            <w:tcBorders>
              <w:bottom w:val="nil"/>
            </w:tcBorders>
            <w:shd w:val="clear" w:color="auto" w:fill="auto"/>
            <w:vAlign w:val="center"/>
          </w:tcPr>
          <w:p w14:paraId="48EA5787" w14:textId="77777777" w:rsidR="00FA3112" w:rsidRPr="003337C0" w:rsidRDefault="00FA3112" w:rsidP="003337C0">
            <w:pPr>
              <w:spacing w:line="240" w:lineRule="auto"/>
              <w:jc w:val="left"/>
              <w:rPr>
                <w:sz w:val="18"/>
                <w:szCs w:val="18"/>
                <w:lang w:val="en-GB"/>
              </w:rPr>
            </w:pPr>
            <w:r w:rsidRPr="003337C0">
              <w:rPr>
                <w:sz w:val="18"/>
                <w:szCs w:val="18"/>
                <w:lang w:val="en-GB"/>
              </w:rPr>
              <w:t>959 ± 430</w:t>
            </w:r>
          </w:p>
        </w:tc>
        <w:tc>
          <w:tcPr>
            <w:tcW w:w="1276" w:type="dxa"/>
            <w:tcBorders>
              <w:bottom w:val="nil"/>
            </w:tcBorders>
            <w:shd w:val="clear" w:color="auto" w:fill="auto"/>
            <w:vAlign w:val="center"/>
          </w:tcPr>
          <w:p w14:paraId="612CA4F1" w14:textId="77777777" w:rsidR="00FA3112" w:rsidRPr="003337C0" w:rsidRDefault="00FA3112" w:rsidP="003337C0">
            <w:pPr>
              <w:spacing w:line="240" w:lineRule="auto"/>
              <w:jc w:val="left"/>
              <w:rPr>
                <w:sz w:val="18"/>
                <w:szCs w:val="18"/>
                <w:lang w:val="en-GB"/>
              </w:rPr>
            </w:pPr>
            <w:r w:rsidRPr="003337C0">
              <w:rPr>
                <w:sz w:val="18"/>
                <w:szCs w:val="18"/>
                <w:lang w:val="en-GB"/>
              </w:rPr>
              <w:t>710 ± 361</w:t>
            </w:r>
          </w:p>
        </w:tc>
        <w:tc>
          <w:tcPr>
            <w:tcW w:w="1419" w:type="dxa"/>
            <w:tcBorders>
              <w:bottom w:val="nil"/>
            </w:tcBorders>
            <w:shd w:val="clear" w:color="auto" w:fill="auto"/>
            <w:vAlign w:val="center"/>
          </w:tcPr>
          <w:p w14:paraId="08C095A9" w14:textId="77777777" w:rsidR="00FA3112" w:rsidRPr="003337C0" w:rsidRDefault="00FA3112" w:rsidP="003337C0">
            <w:pPr>
              <w:spacing w:line="240" w:lineRule="auto"/>
              <w:jc w:val="left"/>
              <w:rPr>
                <w:sz w:val="18"/>
                <w:szCs w:val="18"/>
                <w:lang w:val="en-GB"/>
              </w:rPr>
            </w:pPr>
            <w:r w:rsidRPr="003337C0">
              <w:rPr>
                <w:sz w:val="18"/>
                <w:szCs w:val="18"/>
                <w:lang w:val="en-GB"/>
              </w:rPr>
              <w:t>703 ± 219</w:t>
            </w:r>
          </w:p>
        </w:tc>
      </w:tr>
      <w:tr w:rsidR="003337C0" w:rsidRPr="003337C0" w14:paraId="600D6E96" w14:textId="77777777" w:rsidTr="00AC363A">
        <w:trPr>
          <w:trHeight w:val="164"/>
        </w:trPr>
        <w:tc>
          <w:tcPr>
            <w:tcW w:w="3969" w:type="dxa"/>
            <w:tcBorders>
              <w:top w:val="nil"/>
              <w:bottom w:val="single" w:sz="4" w:space="0" w:color="auto"/>
            </w:tcBorders>
            <w:shd w:val="clear" w:color="auto" w:fill="auto"/>
            <w:vAlign w:val="center"/>
          </w:tcPr>
          <w:p w14:paraId="53357D69" w14:textId="77777777" w:rsidR="00FA3112" w:rsidRPr="003337C0" w:rsidRDefault="00FA3112" w:rsidP="003337C0">
            <w:pPr>
              <w:spacing w:line="240" w:lineRule="auto"/>
              <w:jc w:val="left"/>
              <w:rPr>
                <w:sz w:val="18"/>
                <w:szCs w:val="18"/>
                <w:lang w:val="en-GB"/>
              </w:rPr>
            </w:pPr>
            <w:r w:rsidRPr="003337C0">
              <w:rPr>
                <w:sz w:val="18"/>
                <w:szCs w:val="18"/>
                <w:lang w:val="en-GB"/>
              </w:rPr>
              <w:t>Electric cars - 11 years lifetime</w:t>
            </w:r>
          </w:p>
        </w:tc>
        <w:tc>
          <w:tcPr>
            <w:tcW w:w="1276" w:type="dxa"/>
            <w:tcBorders>
              <w:top w:val="nil"/>
              <w:bottom w:val="single" w:sz="4" w:space="0" w:color="auto"/>
            </w:tcBorders>
            <w:shd w:val="clear" w:color="auto" w:fill="auto"/>
            <w:vAlign w:val="center"/>
          </w:tcPr>
          <w:p w14:paraId="46190055" w14:textId="77777777" w:rsidR="00FA3112" w:rsidRPr="003337C0" w:rsidRDefault="00FA3112" w:rsidP="003337C0">
            <w:pPr>
              <w:spacing w:line="240" w:lineRule="auto"/>
              <w:jc w:val="left"/>
              <w:rPr>
                <w:sz w:val="18"/>
                <w:szCs w:val="18"/>
                <w:lang w:val="en-GB"/>
              </w:rPr>
            </w:pPr>
            <w:r w:rsidRPr="003337C0">
              <w:rPr>
                <w:sz w:val="18"/>
                <w:szCs w:val="18"/>
                <w:lang w:val="en-GB"/>
              </w:rPr>
              <w:t>1308 ± 188</w:t>
            </w:r>
          </w:p>
        </w:tc>
        <w:tc>
          <w:tcPr>
            <w:tcW w:w="1418" w:type="dxa"/>
            <w:gridSpan w:val="2"/>
            <w:tcBorders>
              <w:top w:val="nil"/>
              <w:bottom w:val="single" w:sz="4" w:space="0" w:color="auto"/>
            </w:tcBorders>
            <w:shd w:val="clear" w:color="auto" w:fill="auto"/>
            <w:vAlign w:val="center"/>
          </w:tcPr>
          <w:p w14:paraId="482E98E4" w14:textId="77777777" w:rsidR="00FA3112" w:rsidRPr="003337C0" w:rsidRDefault="00FA3112" w:rsidP="003337C0">
            <w:pPr>
              <w:spacing w:line="240" w:lineRule="auto"/>
              <w:jc w:val="left"/>
              <w:rPr>
                <w:sz w:val="18"/>
                <w:szCs w:val="18"/>
                <w:lang w:val="en-GB"/>
              </w:rPr>
            </w:pPr>
            <w:r w:rsidRPr="003337C0">
              <w:rPr>
                <w:sz w:val="18"/>
                <w:szCs w:val="18"/>
                <w:lang w:val="en-GB"/>
              </w:rPr>
              <w:t>1073 ± 194</w:t>
            </w:r>
          </w:p>
        </w:tc>
        <w:tc>
          <w:tcPr>
            <w:tcW w:w="1701" w:type="dxa"/>
            <w:gridSpan w:val="2"/>
            <w:tcBorders>
              <w:top w:val="nil"/>
              <w:bottom w:val="single" w:sz="4" w:space="0" w:color="auto"/>
            </w:tcBorders>
            <w:shd w:val="clear" w:color="auto" w:fill="auto"/>
            <w:vAlign w:val="center"/>
          </w:tcPr>
          <w:p w14:paraId="3EAC3EC4" w14:textId="77777777" w:rsidR="00FA3112" w:rsidRPr="003337C0" w:rsidRDefault="00FA3112" w:rsidP="003337C0">
            <w:pPr>
              <w:spacing w:line="240" w:lineRule="auto"/>
              <w:jc w:val="left"/>
              <w:rPr>
                <w:sz w:val="18"/>
                <w:szCs w:val="18"/>
                <w:lang w:val="en-GB"/>
              </w:rPr>
            </w:pPr>
            <w:r w:rsidRPr="003337C0">
              <w:rPr>
                <w:sz w:val="18"/>
                <w:szCs w:val="18"/>
                <w:lang w:val="en-GB"/>
              </w:rPr>
              <w:t>911 ± 184</w:t>
            </w:r>
          </w:p>
        </w:tc>
        <w:tc>
          <w:tcPr>
            <w:tcW w:w="1559" w:type="dxa"/>
            <w:tcBorders>
              <w:top w:val="nil"/>
              <w:bottom w:val="single" w:sz="4" w:space="0" w:color="auto"/>
            </w:tcBorders>
            <w:shd w:val="clear" w:color="auto" w:fill="auto"/>
            <w:vAlign w:val="center"/>
          </w:tcPr>
          <w:p w14:paraId="70F0BA2B" w14:textId="77777777" w:rsidR="00FA3112" w:rsidRPr="003337C0" w:rsidRDefault="00FA3112" w:rsidP="003337C0">
            <w:pPr>
              <w:spacing w:line="240" w:lineRule="auto"/>
              <w:jc w:val="left"/>
              <w:rPr>
                <w:sz w:val="18"/>
                <w:szCs w:val="18"/>
                <w:lang w:val="en-GB"/>
              </w:rPr>
            </w:pPr>
            <w:r w:rsidRPr="003337C0">
              <w:rPr>
                <w:sz w:val="18"/>
                <w:szCs w:val="18"/>
                <w:lang w:val="en-GB"/>
              </w:rPr>
              <w:t>748 ± 211</w:t>
            </w:r>
          </w:p>
        </w:tc>
        <w:tc>
          <w:tcPr>
            <w:tcW w:w="1417" w:type="dxa"/>
            <w:tcBorders>
              <w:top w:val="nil"/>
              <w:bottom w:val="single" w:sz="4" w:space="0" w:color="auto"/>
            </w:tcBorders>
            <w:shd w:val="clear" w:color="auto" w:fill="auto"/>
            <w:vAlign w:val="center"/>
          </w:tcPr>
          <w:p w14:paraId="5E230313" w14:textId="77777777" w:rsidR="00FA3112" w:rsidRPr="003337C0" w:rsidRDefault="00FA3112" w:rsidP="003337C0">
            <w:pPr>
              <w:spacing w:line="240" w:lineRule="auto"/>
              <w:jc w:val="left"/>
              <w:rPr>
                <w:sz w:val="18"/>
                <w:szCs w:val="18"/>
                <w:lang w:val="en-GB"/>
              </w:rPr>
            </w:pPr>
            <w:r w:rsidRPr="003337C0">
              <w:rPr>
                <w:sz w:val="18"/>
                <w:szCs w:val="18"/>
                <w:lang w:val="en-GB"/>
              </w:rPr>
              <w:t>487 ± 291</w:t>
            </w:r>
          </w:p>
        </w:tc>
        <w:tc>
          <w:tcPr>
            <w:tcW w:w="1276" w:type="dxa"/>
            <w:tcBorders>
              <w:top w:val="nil"/>
              <w:bottom w:val="single" w:sz="4" w:space="0" w:color="auto"/>
            </w:tcBorders>
            <w:shd w:val="clear" w:color="auto" w:fill="auto"/>
            <w:vAlign w:val="center"/>
          </w:tcPr>
          <w:p w14:paraId="0039C8B2" w14:textId="77777777" w:rsidR="00FA3112" w:rsidRPr="003337C0" w:rsidRDefault="00FA3112" w:rsidP="003337C0">
            <w:pPr>
              <w:spacing w:line="240" w:lineRule="auto"/>
              <w:jc w:val="left"/>
              <w:rPr>
                <w:sz w:val="18"/>
                <w:szCs w:val="18"/>
                <w:lang w:val="en-GB"/>
              </w:rPr>
            </w:pPr>
            <w:r w:rsidRPr="003337C0">
              <w:rPr>
                <w:sz w:val="18"/>
                <w:szCs w:val="18"/>
                <w:lang w:val="en-GB"/>
              </w:rPr>
              <w:t>265 ± 267</w:t>
            </w:r>
          </w:p>
        </w:tc>
        <w:tc>
          <w:tcPr>
            <w:tcW w:w="1419" w:type="dxa"/>
            <w:tcBorders>
              <w:top w:val="nil"/>
              <w:bottom w:val="single" w:sz="4" w:space="0" w:color="auto"/>
            </w:tcBorders>
            <w:shd w:val="clear" w:color="auto" w:fill="auto"/>
            <w:vAlign w:val="center"/>
          </w:tcPr>
          <w:p w14:paraId="43D51182" w14:textId="77777777" w:rsidR="00FA3112" w:rsidRPr="003337C0" w:rsidRDefault="00FA3112" w:rsidP="003337C0">
            <w:pPr>
              <w:spacing w:line="240" w:lineRule="auto"/>
              <w:jc w:val="left"/>
              <w:rPr>
                <w:sz w:val="18"/>
                <w:szCs w:val="18"/>
                <w:lang w:val="en-GB"/>
              </w:rPr>
            </w:pPr>
            <w:r w:rsidRPr="003337C0">
              <w:rPr>
                <w:sz w:val="18"/>
                <w:szCs w:val="18"/>
                <w:lang w:val="en-GB"/>
              </w:rPr>
              <w:t>292 ± 203</w:t>
            </w:r>
          </w:p>
        </w:tc>
      </w:tr>
      <w:tr w:rsidR="00FA3112" w:rsidRPr="003337C0" w14:paraId="5BF43C94" w14:textId="77777777" w:rsidTr="00AC363A">
        <w:trPr>
          <w:trHeight w:val="164"/>
        </w:trPr>
        <w:tc>
          <w:tcPr>
            <w:tcW w:w="3969" w:type="dxa"/>
            <w:tcBorders>
              <w:bottom w:val="nil"/>
            </w:tcBorders>
            <w:shd w:val="clear" w:color="auto" w:fill="D9D9D9" w:themeFill="background1" w:themeFillShade="D9"/>
            <w:vAlign w:val="center"/>
          </w:tcPr>
          <w:p w14:paraId="7E5847DB"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- 6 years lifetime</w:t>
            </w:r>
          </w:p>
        </w:tc>
        <w:tc>
          <w:tcPr>
            <w:tcW w:w="1276" w:type="dxa"/>
            <w:tcBorders>
              <w:bottom w:val="nil"/>
            </w:tcBorders>
            <w:shd w:val="clear" w:color="auto" w:fill="D9D9D9" w:themeFill="background1" w:themeFillShade="D9"/>
            <w:vAlign w:val="center"/>
          </w:tcPr>
          <w:p w14:paraId="1BC994D2"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bottom w:val="nil"/>
            </w:tcBorders>
            <w:shd w:val="clear" w:color="auto" w:fill="D9D9D9" w:themeFill="background1" w:themeFillShade="D9"/>
            <w:vAlign w:val="center"/>
          </w:tcPr>
          <w:p w14:paraId="1F5F044C" w14:textId="77777777" w:rsidR="00FA3112" w:rsidRPr="003337C0" w:rsidRDefault="00FA3112" w:rsidP="003337C0">
            <w:pPr>
              <w:spacing w:line="240" w:lineRule="auto"/>
              <w:jc w:val="left"/>
              <w:rPr>
                <w:sz w:val="18"/>
                <w:szCs w:val="18"/>
                <w:lang w:val="en-GB"/>
              </w:rPr>
            </w:pPr>
            <w:r w:rsidRPr="003337C0">
              <w:rPr>
                <w:sz w:val="18"/>
                <w:szCs w:val="18"/>
                <w:lang w:val="en-GB"/>
              </w:rPr>
              <w:t>1786</w:t>
            </w:r>
            <w:r w:rsidRPr="003337C0">
              <w:rPr>
                <w:sz w:val="18"/>
                <w:szCs w:val="18"/>
                <w:vertAlign w:val="superscript"/>
                <w:lang w:val="en-GB"/>
              </w:rPr>
              <w:t>a</w:t>
            </w:r>
          </w:p>
        </w:tc>
        <w:tc>
          <w:tcPr>
            <w:tcW w:w="1701" w:type="dxa"/>
            <w:gridSpan w:val="2"/>
            <w:tcBorders>
              <w:bottom w:val="nil"/>
            </w:tcBorders>
            <w:shd w:val="clear" w:color="auto" w:fill="D9D9D9" w:themeFill="background1" w:themeFillShade="D9"/>
            <w:vAlign w:val="center"/>
          </w:tcPr>
          <w:p w14:paraId="1B34A071" w14:textId="77777777" w:rsidR="00FA3112" w:rsidRPr="003337C0" w:rsidRDefault="00FA3112" w:rsidP="003337C0">
            <w:pPr>
              <w:spacing w:line="240" w:lineRule="auto"/>
              <w:jc w:val="left"/>
              <w:rPr>
                <w:sz w:val="18"/>
                <w:szCs w:val="18"/>
                <w:lang w:val="en-GB"/>
              </w:rPr>
            </w:pPr>
            <w:r w:rsidRPr="003337C0">
              <w:rPr>
                <w:sz w:val="18"/>
                <w:szCs w:val="18"/>
                <w:lang w:val="en-GB"/>
              </w:rPr>
              <w:t>32 ± 966</w:t>
            </w:r>
          </w:p>
        </w:tc>
        <w:tc>
          <w:tcPr>
            <w:tcW w:w="1559" w:type="dxa"/>
            <w:tcBorders>
              <w:bottom w:val="nil"/>
            </w:tcBorders>
            <w:shd w:val="clear" w:color="auto" w:fill="D9D9D9" w:themeFill="background1" w:themeFillShade="D9"/>
            <w:vAlign w:val="center"/>
          </w:tcPr>
          <w:p w14:paraId="4CFBD7CE" w14:textId="77777777" w:rsidR="00FA3112" w:rsidRPr="003337C0" w:rsidRDefault="00FA3112" w:rsidP="003337C0">
            <w:pPr>
              <w:spacing w:line="240" w:lineRule="auto"/>
              <w:jc w:val="left"/>
              <w:rPr>
                <w:sz w:val="18"/>
                <w:szCs w:val="18"/>
                <w:lang w:val="en-GB"/>
              </w:rPr>
            </w:pPr>
            <w:r w:rsidRPr="003337C0">
              <w:rPr>
                <w:sz w:val="18"/>
                <w:szCs w:val="18"/>
                <w:lang w:val="en-GB"/>
              </w:rPr>
              <w:t>543 ± 1793</w:t>
            </w:r>
          </w:p>
        </w:tc>
        <w:tc>
          <w:tcPr>
            <w:tcW w:w="1417" w:type="dxa"/>
            <w:tcBorders>
              <w:bottom w:val="nil"/>
            </w:tcBorders>
            <w:shd w:val="clear" w:color="auto" w:fill="D9D9D9" w:themeFill="background1" w:themeFillShade="D9"/>
            <w:vAlign w:val="center"/>
          </w:tcPr>
          <w:p w14:paraId="7492E1FC" w14:textId="77777777" w:rsidR="00FA3112" w:rsidRPr="003337C0" w:rsidRDefault="00FA3112" w:rsidP="003337C0">
            <w:pPr>
              <w:spacing w:line="240" w:lineRule="auto"/>
              <w:jc w:val="left"/>
              <w:rPr>
                <w:sz w:val="18"/>
                <w:szCs w:val="18"/>
                <w:lang w:val="en-GB"/>
              </w:rPr>
            </w:pPr>
            <w:r w:rsidRPr="003337C0">
              <w:rPr>
                <w:sz w:val="18"/>
                <w:szCs w:val="18"/>
                <w:lang w:val="en-GB"/>
              </w:rPr>
              <w:t>915 ± 1105</w:t>
            </w:r>
          </w:p>
        </w:tc>
        <w:tc>
          <w:tcPr>
            <w:tcW w:w="1276" w:type="dxa"/>
            <w:tcBorders>
              <w:bottom w:val="nil"/>
            </w:tcBorders>
            <w:shd w:val="clear" w:color="auto" w:fill="D9D9D9" w:themeFill="background1" w:themeFillShade="D9"/>
            <w:vAlign w:val="center"/>
          </w:tcPr>
          <w:p w14:paraId="41F46CD2" w14:textId="77777777" w:rsidR="00FA3112" w:rsidRPr="003337C0" w:rsidRDefault="00FA3112" w:rsidP="003337C0">
            <w:pPr>
              <w:spacing w:line="240" w:lineRule="auto"/>
              <w:jc w:val="left"/>
              <w:rPr>
                <w:sz w:val="18"/>
                <w:szCs w:val="18"/>
                <w:lang w:val="en-GB"/>
              </w:rPr>
            </w:pPr>
            <w:r w:rsidRPr="003337C0">
              <w:rPr>
                <w:sz w:val="18"/>
                <w:szCs w:val="18"/>
                <w:lang w:val="en-GB"/>
              </w:rPr>
              <w:t>2179 ± 2940</w:t>
            </w:r>
          </w:p>
        </w:tc>
        <w:tc>
          <w:tcPr>
            <w:tcW w:w="1419" w:type="dxa"/>
            <w:tcBorders>
              <w:bottom w:val="nil"/>
            </w:tcBorders>
            <w:shd w:val="clear" w:color="auto" w:fill="D9D9D9" w:themeFill="background1" w:themeFillShade="D9"/>
            <w:vAlign w:val="center"/>
          </w:tcPr>
          <w:p w14:paraId="58FF79E5" w14:textId="77777777" w:rsidR="00FA3112" w:rsidRPr="003337C0" w:rsidRDefault="00FA3112" w:rsidP="003337C0">
            <w:pPr>
              <w:spacing w:line="240" w:lineRule="auto"/>
              <w:jc w:val="left"/>
              <w:rPr>
                <w:sz w:val="18"/>
                <w:szCs w:val="18"/>
                <w:lang w:val="en-GB"/>
              </w:rPr>
            </w:pPr>
            <w:r w:rsidRPr="003337C0">
              <w:rPr>
                <w:sz w:val="18"/>
                <w:szCs w:val="18"/>
                <w:lang w:val="en-GB"/>
              </w:rPr>
              <w:t>1398 ± 1574</w:t>
            </w:r>
          </w:p>
        </w:tc>
      </w:tr>
      <w:tr w:rsidR="00FA3112" w:rsidRPr="003337C0" w14:paraId="5C344C9E" w14:textId="77777777" w:rsidTr="00AC363A">
        <w:trPr>
          <w:trHeight w:val="164"/>
        </w:trPr>
        <w:tc>
          <w:tcPr>
            <w:tcW w:w="3969" w:type="dxa"/>
            <w:tcBorders>
              <w:top w:val="nil"/>
            </w:tcBorders>
            <w:shd w:val="clear" w:color="auto" w:fill="D9D9D9" w:themeFill="background1" w:themeFillShade="D9"/>
            <w:vAlign w:val="center"/>
          </w:tcPr>
          <w:p w14:paraId="43C4D34E"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- 11 years lifetime</w:t>
            </w:r>
          </w:p>
        </w:tc>
        <w:tc>
          <w:tcPr>
            <w:tcW w:w="1276" w:type="dxa"/>
            <w:tcBorders>
              <w:top w:val="nil"/>
            </w:tcBorders>
            <w:shd w:val="clear" w:color="auto" w:fill="D9D9D9" w:themeFill="background1" w:themeFillShade="D9"/>
            <w:vAlign w:val="center"/>
          </w:tcPr>
          <w:p w14:paraId="70EB337F"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top w:val="nil"/>
            </w:tcBorders>
            <w:shd w:val="clear" w:color="auto" w:fill="D9D9D9" w:themeFill="background1" w:themeFillShade="D9"/>
            <w:vAlign w:val="center"/>
          </w:tcPr>
          <w:p w14:paraId="0A237904" w14:textId="77777777" w:rsidR="00FA3112" w:rsidRPr="003337C0" w:rsidRDefault="00FA3112" w:rsidP="003337C0">
            <w:pPr>
              <w:spacing w:line="240" w:lineRule="auto"/>
              <w:jc w:val="left"/>
              <w:rPr>
                <w:sz w:val="18"/>
                <w:szCs w:val="18"/>
                <w:lang w:val="en-GB"/>
              </w:rPr>
            </w:pPr>
            <w:r w:rsidRPr="003337C0">
              <w:rPr>
                <w:sz w:val="18"/>
                <w:szCs w:val="18"/>
                <w:lang w:val="en-GB"/>
              </w:rPr>
              <w:t>878</w:t>
            </w:r>
            <w:r w:rsidRPr="003337C0">
              <w:rPr>
                <w:sz w:val="18"/>
                <w:szCs w:val="18"/>
                <w:vertAlign w:val="superscript"/>
                <w:lang w:val="en-GB"/>
              </w:rPr>
              <w:t>a</w:t>
            </w:r>
          </w:p>
        </w:tc>
        <w:tc>
          <w:tcPr>
            <w:tcW w:w="1701" w:type="dxa"/>
            <w:gridSpan w:val="2"/>
            <w:tcBorders>
              <w:top w:val="nil"/>
            </w:tcBorders>
            <w:shd w:val="clear" w:color="auto" w:fill="D9D9D9" w:themeFill="background1" w:themeFillShade="D9"/>
            <w:vAlign w:val="center"/>
          </w:tcPr>
          <w:p w14:paraId="0DE634E5" w14:textId="77777777" w:rsidR="00FA3112" w:rsidRPr="003337C0" w:rsidRDefault="00FA3112" w:rsidP="003337C0">
            <w:pPr>
              <w:spacing w:line="240" w:lineRule="auto"/>
              <w:jc w:val="left"/>
              <w:rPr>
                <w:sz w:val="18"/>
                <w:szCs w:val="18"/>
                <w:lang w:val="en-GB"/>
              </w:rPr>
            </w:pPr>
            <w:r w:rsidRPr="003337C0">
              <w:rPr>
                <w:sz w:val="18"/>
                <w:szCs w:val="18"/>
                <w:lang w:val="en-GB"/>
              </w:rPr>
              <w:t>-39 ± 505</w:t>
            </w:r>
          </w:p>
        </w:tc>
        <w:tc>
          <w:tcPr>
            <w:tcW w:w="1559" w:type="dxa"/>
            <w:tcBorders>
              <w:top w:val="nil"/>
            </w:tcBorders>
            <w:shd w:val="clear" w:color="auto" w:fill="D9D9D9" w:themeFill="background1" w:themeFillShade="D9"/>
            <w:vAlign w:val="center"/>
          </w:tcPr>
          <w:p w14:paraId="5387EFA2" w14:textId="77777777" w:rsidR="00FA3112" w:rsidRPr="003337C0" w:rsidRDefault="00FA3112" w:rsidP="003337C0">
            <w:pPr>
              <w:spacing w:line="240" w:lineRule="auto"/>
              <w:jc w:val="left"/>
              <w:rPr>
                <w:sz w:val="18"/>
                <w:szCs w:val="18"/>
                <w:lang w:val="en-GB"/>
              </w:rPr>
            </w:pPr>
            <w:r w:rsidRPr="003337C0">
              <w:rPr>
                <w:sz w:val="18"/>
                <w:szCs w:val="18"/>
                <w:lang w:val="en-GB"/>
              </w:rPr>
              <w:t>105 ± 1115</w:t>
            </w:r>
          </w:p>
        </w:tc>
        <w:tc>
          <w:tcPr>
            <w:tcW w:w="1417" w:type="dxa"/>
            <w:tcBorders>
              <w:top w:val="nil"/>
            </w:tcBorders>
            <w:shd w:val="clear" w:color="auto" w:fill="D9D9D9" w:themeFill="background1" w:themeFillShade="D9"/>
            <w:vAlign w:val="center"/>
          </w:tcPr>
          <w:p w14:paraId="21010DC5" w14:textId="77777777" w:rsidR="00FA3112" w:rsidRPr="003337C0" w:rsidRDefault="00FA3112" w:rsidP="003337C0">
            <w:pPr>
              <w:spacing w:line="240" w:lineRule="auto"/>
              <w:jc w:val="left"/>
              <w:rPr>
                <w:sz w:val="18"/>
                <w:szCs w:val="18"/>
                <w:lang w:val="en-GB"/>
              </w:rPr>
            </w:pPr>
            <w:r w:rsidRPr="003337C0">
              <w:rPr>
                <w:sz w:val="18"/>
                <w:szCs w:val="18"/>
                <w:lang w:val="en-GB"/>
              </w:rPr>
              <w:t>459 ± 730</w:t>
            </w:r>
          </w:p>
        </w:tc>
        <w:tc>
          <w:tcPr>
            <w:tcW w:w="1276" w:type="dxa"/>
            <w:tcBorders>
              <w:top w:val="nil"/>
            </w:tcBorders>
            <w:shd w:val="clear" w:color="auto" w:fill="D9D9D9" w:themeFill="background1" w:themeFillShade="D9"/>
            <w:vAlign w:val="center"/>
          </w:tcPr>
          <w:p w14:paraId="4079F1F8" w14:textId="77777777" w:rsidR="00FA3112" w:rsidRPr="003337C0" w:rsidRDefault="00FA3112" w:rsidP="003337C0">
            <w:pPr>
              <w:spacing w:line="240" w:lineRule="auto"/>
              <w:jc w:val="left"/>
              <w:rPr>
                <w:sz w:val="18"/>
                <w:szCs w:val="18"/>
                <w:lang w:val="en-GB"/>
              </w:rPr>
            </w:pPr>
            <w:r w:rsidRPr="003337C0">
              <w:rPr>
                <w:sz w:val="18"/>
                <w:szCs w:val="18"/>
                <w:lang w:val="en-GB"/>
              </w:rPr>
              <w:t>1233 ± 1845</w:t>
            </w:r>
          </w:p>
        </w:tc>
        <w:tc>
          <w:tcPr>
            <w:tcW w:w="1419" w:type="dxa"/>
            <w:tcBorders>
              <w:top w:val="nil"/>
            </w:tcBorders>
            <w:shd w:val="clear" w:color="auto" w:fill="D9D9D9" w:themeFill="background1" w:themeFillShade="D9"/>
            <w:vAlign w:val="center"/>
          </w:tcPr>
          <w:p w14:paraId="214481CD" w14:textId="77777777" w:rsidR="00FA3112" w:rsidRPr="003337C0" w:rsidRDefault="00FA3112" w:rsidP="003337C0">
            <w:pPr>
              <w:spacing w:line="240" w:lineRule="auto"/>
              <w:jc w:val="left"/>
              <w:rPr>
                <w:sz w:val="18"/>
                <w:szCs w:val="18"/>
                <w:lang w:val="en-GB"/>
              </w:rPr>
            </w:pPr>
            <w:r w:rsidRPr="003337C0">
              <w:rPr>
                <w:sz w:val="18"/>
                <w:szCs w:val="18"/>
                <w:lang w:val="en-GB"/>
              </w:rPr>
              <w:t>808 ± 1179</w:t>
            </w:r>
          </w:p>
        </w:tc>
      </w:tr>
      <w:tr w:rsidR="00FA3112" w:rsidRPr="007C5909" w14:paraId="2214DA49" w14:textId="77777777" w:rsidTr="00AC363A">
        <w:trPr>
          <w:trHeight w:val="164"/>
        </w:trPr>
        <w:tc>
          <w:tcPr>
            <w:tcW w:w="3969" w:type="dxa"/>
            <w:tcBorders>
              <w:bottom w:val="single" w:sz="4" w:space="0" w:color="auto"/>
            </w:tcBorders>
            <w:vAlign w:val="center"/>
          </w:tcPr>
          <w:p w14:paraId="5D6C3D9C" w14:textId="77777777" w:rsidR="00FA3112" w:rsidRPr="003337C0" w:rsidRDefault="00FA3112" w:rsidP="003337C0">
            <w:pPr>
              <w:spacing w:line="240" w:lineRule="auto"/>
              <w:jc w:val="left"/>
              <w:rPr>
                <w:sz w:val="18"/>
                <w:szCs w:val="18"/>
                <w:lang w:val="en-GB"/>
              </w:rPr>
            </w:pPr>
          </w:p>
        </w:tc>
        <w:tc>
          <w:tcPr>
            <w:tcW w:w="10066" w:type="dxa"/>
            <w:gridSpan w:val="9"/>
            <w:tcBorders>
              <w:bottom w:val="single" w:sz="4" w:space="0" w:color="auto"/>
            </w:tcBorders>
            <w:vAlign w:val="center"/>
          </w:tcPr>
          <w:p w14:paraId="1C847F50" w14:textId="77777777" w:rsidR="00FA3112" w:rsidRPr="003337C0" w:rsidRDefault="00FA3112" w:rsidP="003337C0">
            <w:pPr>
              <w:spacing w:line="240" w:lineRule="auto"/>
              <w:jc w:val="center"/>
              <w:rPr>
                <w:sz w:val="18"/>
                <w:szCs w:val="18"/>
                <w:lang w:val="en-GB"/>
              </w:rPr>
            </w:pPr>
            <w:r w:rsidRPr="003337C0">
              <w:rPr>
                <w:sz w:val="18"/>
                <w:szCs w:val="18"/>
                <w:lang w:val="en-GB"/>
              </w:rPr>
              <w:t>Scenario III: Well-to-wheel emissions</w:t>
            </w:r>
          </w:p>
        </w:tc>
      </w:tr>
      <w:tr w:rsidR="00FA3112" w:rsidRPr="003337C0" w14:paraId="31DDDBBD" w14:textId="77777777" w:rsidTr="00AC363A">
        <w:trPr>
          <w:trHeight w:val="164"/>
        </w:trPr>
        <w:tc>
          <w:tcPr>
            <w:tcW w:w="3969" w:type="dxa"/>
            <w:tcBorders>
              <w:bottom w:val="nil"/>
            </w:tcBorders>
            <w:vAlign w:val="center"/>
          </w:tcPr>
          <w:p w14:paraId="1506DB2B" w14:textId="77777777" w:rsidR="00FA3112" w:rsidRPr="003337C0" w:rsidRDefault="00FA3112" w:rsidP="003337C0">
            <w:pPr>
              <w:spacing w:line="240" w:lineRule="auto"/>
              <w:jc w:val="left"/>
              <w:rPr>
                <w:sz w:val="18"/>
                <w:szCs w:val="18"/>
                <w:lang w:val="en-GB"/>
              </w:rPr>
            </w:pPr>
            <w:r w:rsidRPr="003337C0">
              <w:rPr>
                <w:sz w:val="18"/>
                <w:szCs w:val="18"/>
                <w:lang w:val="en-GB"/>
              </w:rPr>
              <w:t>Electric cars - 6 years lifetime</w:t>
            </w:r>
          </w:p>
        </w:tc>
        <w:tc>
          <w:tcPr>
            <w:tcW w:w="1276" w:type="dxa"/>
            <w:tcBorders>
              <w:bottom w:val="nil"/>
            </w:tcBorders>
            <w:vAlign w:val="center"/>
          </w:tcPr>
          <w:p w14:paraId="4312C063" w14:textId="77777777" w:rsidR="00FA3112" w:rsidRPr="003337C0" w:rsidRDefault="00FA3112" w:rsidP="003337C0">
            <w:pPr>
              <w:spacing w:line="240" w:lineRule="auto"/>
              <w:jc w:val="left"/>
              <w:rPr>
                <w:sz w:val="18"/>
                <w:szCs w:val="18"/>
                <w:lang w:val="en-GB"/>
              </w:rPr>
            </w:pPr>
            <w:r w:rsidRPr="003337C0">
              <w:rPr>
                <w:sz w:val="18"/>
                <w:szCs w:val="18"/>
                <w:lang w:val="en-GB"/>
              </w:rPr>
              <w:t>8762 ± 3090</w:t>
            </w:r>
          </w:p>
        </w:tc>
        <w:tc>
          <w:tcPr>
            <w:tcW w:w="1418" w:type="dxa"/>
            <w:gridSpan w:val="2"/>
            <w:tcBorders>
              <w:bottom w:val="nil"/>
            </w:tcBorders>
            <w:vAlign w:val="center"/>
          </w:tcPr>
          <w:p w14:paraId="416B5F8B" w14:textId="77777777" w:rsidR="00FA3112" w:rsidRPr="003337C0" w:rsidRDefault="00FA3112" w:rsidP="003337C0">
            <w:pPr>
              <w:spacing w:line="240" w:lineRule="auto"/>
              <w:jc w:val="left"/>
              <w:rPr>
                <w:sz w:val="18"/>
                <w:szCs w:val="18"/>
                <w:lang w:val="en-GB"/>
              </w:rPr>
            </w:pPr>
            <w:r w:rsidRPr="003337C0">
              <w:rPr>
                <w:sz w:val="18"/>
                <w:szCs w:val="18"/>
                <w:lang w:val="en-GB"/>
              </w:rPr>
              <w:t>4838 ± 2211</w:t>
            </w:r>
          </w:p>
        </w:tc>
        <w:tc>
          <w:tcPr>
            <w:tcW w:w="1701" w:type="dxa"/>
            <w:gridSpan w:val="2"/>
            <w:tcBorders>
              <w:bottom w:val="nil"/>
            </w:tcBorders>
            <w:vAlign w:val="center"/>
          </w:tcPr>
          <w:p w14:paraId="4F3D3F92" w14:textId="77777777" w:rsidR="00FA3112" w:rsidRPr="003337C0" w:rsidRDefault="00FA3112" w:rsidP="003337C0">
            <w:pPr>
              <w:spacing w:line="240" w:lineRule="auto"/>
              <w:jc w:val="left"/>
              <w:rPr>
                <w:sz w:val="18"/>
                <w:szCs w:val="18"/>
                <w:lang w:val="en-GB"/>
              </w:rPr>
            </w:pPr>
            <w:r w:rsidRPr="003337C0">
              <w:rPr>
                <w:sz w:val="18"/>
                <w:szCs w:val="18"/>
                <w:lang w:val="en-GB"/>
              </w:rPr>
              <w:t>6406 ± 3455</w:t>
            </w:r>
          </w:p>
        </w:tc>
        <w:tc>
          <w:tcPr>
            <w:tcW w:w="1559" w:type="dxa"/>
            <w:tcBorders>
              <w:bottom w:val="nil"/>
            </w:tcBorders>
            <w:vAlign w:val="center"/>
          </w:tcPr>
          <w:p w14:paraId="7BBCA957" w14:textId="77777777" w:rsidR="00FA3112" w:rsidRPr="003337C0" w:rsidRDefault="00FA3112" w:rsidP="003337C0">
            <w:pPr>
              <w:spacing w:line="240" w:lineRule="auto"/>
              <w:jc w:val="left"/>
              <w:rPr>
                <w:sz w:val="18"/>
                <w:szCs w:val="18"/>
                <w:lang w:val="en-GB"/>
              </w:rPr>
            </w:pPr>
            <w:r w:rsidRPr="003337C0">
              <w:rPr>
                <w:sz w:val="18"/>
                <w:szCs w:val="18"/>
                <w:lang w:val="en-GB"/>
              </w:rPr>
              <w:t>4017 ± 1320</w:t>
            </w:r>
          </w:p>
        </w:tc>
        <w:tc>
          <w:tcPr>
            <w:tcW w:w="1417" w:type="dxa"/>
            <w:tcBorders>
              <w:bottom w:val="nil"/>
            </w:tcBorders>
            <w:vAlign w:val="center"/>
          </w:tcPr>
          <w:p w14:paraId="0FB95EA0" w14:textId="77777777" w:rsidR="00FA3112" w:rsidRPr="003337C0" w:rsidRDefault="00FA3112" w:rsidP="003337C0">
            <w:pPr>
              <w:spacing w:line="240" w:lineRule="auto"/>
              <w:jc w:val="left"/>
              <w:rPr>
                <w:sz w:val="18"/>
                <w:szCs w:val="18"/>
                <w:lang w:val="en-GB"/>
              </w:rPr>
            </w:pPr>
            <w:r w:rsidRPr="003337C0">
              <w:rPr>
                <w:sz w:val="18"/>
                <w:szCs w:val="18"/>
                <w:lang w:val="en-GB"/>
              </w:rPr>
              <w:t>2198 ± 2239</w:t>
            </w:r>
          </w:p>
        </w:tc>
        <w:tc>
          <w:tcPr>
            <w:tcW w:w="1276" w:type="dxa"/>
            <w:tcBorders>
              <w:bottom w:val="nil"/>
            </w:tcBorders>
            <w:vAlign w:val="center"/>
          </w:tcPr>
          <w:p w14:paraId="556FE8E1" w14:textId="77777777" w:rsidR="00FA3112" w:rsidRPr="003337C0" w:rsidRDefault="00FA3112" w:rsidP="003337C0">
            <w:pPr>
              <w:spacing w:line="240" w:lineRule="auto"/>
              <w:jc w:val="left"/>
              <w:rPr>
                <w:sz w:val="18"/>
                <w:szCs w:val="18"/>
                <w:lang w:val="en-GB"/>
              </w:rPr>
            </w:pPr>
            <w:r w:rsidRPr="003337C0">
              <w:rPr>
                <w:sz w:val="18"/>
                <w:szCs w:val="18"/>
                <w:lang w:val="en-GB"/>
              </w:rPr>
              <w:t>1865 ± 1148</w:t>
            </w:r>
          </w:p>
        </w:tc>
        <w:tc>
          <w:tcPr>
            <w:tcW w:w="1419" w:type="dxa"/>
            <w:tcBorders>
              <w:bottom w:val="nil"/>
            </w:tcBorders>
            <w:vAlign w:val="center"/>
          </w:tcPr>
          <w:p w14:paraId="4145E7E4" w14:textId="77777777" w:rsidR="00FA3112" w:rsidRPr="003337C0" w:rsidRDefault="00FA3112" w:rsidP="003337C0">
            <w:pPr>
              <w:spacing w:line="240" w:lineRule="auto"/>
              <w:jc w:val="left"/>
              <w:rPr>
                <w:sz w:val="18"/>
                <w:szCs w:val="18"/>
                <w:lang w:val="en-GB"/>
              </w:rPr>
            </w:pPr>
            <w:r w:rsidRPr="003337C0">
              <w:rPr>
                <w:sz w:val="18"/>
                <w:szCs w:val="18"/>
                <w:lang w:val="en-GB"/>
              </w:rPr>
              <w:t>1710 ± 995</w:t>
            </w:r>
          </w:p>
        </w:tc>
      </w:tr>
      <w:tr w:rsidR="00FA3112" w:rsidRPr="003337C0" w14:paraId="2B006CB7" w14:textId="77777777" w:rsidTr="00AC363A">
        <w:trPr>
          <w:trHeight w:val="164"/>
        </w:trPr>
        <w:tc>
          <w:tcPr>
            <w:tcW w:w="3969" w:type="dxa"/>
            <w:tcBorders>
              <w:top w:val="nil"/>
              <w:bottom w:val="single" w:sz="4" w:space="0" w:color="auto"/>
            </w:tcBorders>
            <w:vAlign w:val="center"/>
          </w:tcPr>
          <w:p w14:paraId="2743A732" w14:textId="77777777" w:rsidR="00FA3112" w:rsidRPr="003337C0" w:rsidRDefault="00FA3112" w:rsidP="003337C0">
            <w:pPr>
              <w:spacing w:line="240" w:lineRule="auto"/>
              <w:jc w:val="left"/>
              <w:rPr>
                <w:sz w:val="18"/>
                <w:szCs w:val="18"/>
                <w:lang w:val="en-GB"/>
              </w:rPr>
            </w:pPr>
            <w:r w:rsidRPr="003337C0">
              <w:rPr>
                <w:sz w:val="18"/>
                <w:szCs w:val="18"/>
                <w:lang w:val="en-GB"/>
              </w:rPr>
              <w:t>Electric cars - 11 years lifetime</w:t>
            </w:r>
          </w:p>
        </w:tc>
        <w:tc>
          <w:tcPr>
            <w:tcW w:w="1276" w:type="dxa"/>
            <w:tcBorders>
              <w:top w:val="nil"/>
              <w:bottom w:val="single" w:sz="4" w:space="0" w:color="auto"/>
            </w:tcBorders>
            <w:vAlign w:val="center"/>
          </w:tcPr>
          <w:p w14:paraId="6971F238" w14:textId="77777777" w:rsidR="00FA3112" w:rsidRPr="003337C0" w:rsidRDefault="00FA3112" w:rsidP="003337C0">
            <w:pPr>
              <w:spacing w:line="240" w:lineRule="auto"/>
              <w:jc w:val="left"/>
              <w:rPr>
                <w:sz w:val="18"/>
                <w:szCs w:val="18"/>
                <w:lang w:val="en-GB"/>
              </w:rPr>
            </w:pPr>
            <w:r w:rsidRPr="003337C0">
              <w:rPr>
                <w:sz w:val="18"/>
                <w:szCs w:val="18"/>
                <w:lang w:val="en-GB"/>
              </w:rPr>
              <w:t>4666 ± 1842</w:t>
            </w:r>
          </w:p>
        </w:tc>
        <w:tc>
          <w:tcPr>
            <w:tcW w:w="1418" w:type="dxa"/>
            <w:gridSpan w:val="2"/>
            <w:tcBorders>
              <w:top w:val="nil"/>
              <w:bottom w:val="single" w:sz="4" w:space="0" w:color="auto"/>
            </w:tcBorders>
            <w:vAlign w:val="center"/>
          </w:tcPr>
          <w:p w14:paraId="53662C01" w14:textId="77777777" w:rsidR="00FA3112" w:rsidRPr="003337C0" w:rsidRDefault="00FA3112" w:rsidP="003337C0">
            <w:pPr>
              <w:spacing w:line="240" w:lineRule="auto"/>
              <w:jc w:val="left"/>
              <w:rPr>
                <w:sz w:val="18"/>
                <w:szCs w:val="18"/>
                <w:lang w:val="en-GB"/>
              </w:rPr>
            </w:pPr>
            <w:r w:rsidRPr="003337C0">
              <w:rPr>
                <w:sz w:val="18"/>
                <w:szCs w:val="18"/>
                <w:lang w:val="en-GB"/>
              </w:rPr>
              <w:t>2251 ± 1401</w:t>
            </w:r>
          </w:p>
        </w:tc>
        <w:tc>
          <w:tcPr>
            <w:tcW w:w="1701" w:type="dxa"/>
            <w:gridSpan w:val="2"/>
            <w:tcBorders>
              <w:top w:val="nil"/>
              <w:bottom w:val="single" w:sz="4" w:space="0" w:color="auto"/>
            </w:tcBorders>
            <w:vAlign w:val="center"/>
          </w:tcPr>
          <w:p w14:paraId="11B2FE27" w14:textId="77777777" w:rsidR="00FA3112" w:rsidRPr="003337C0" w:rsidRDefault="00FA3112" w:rsidP="003337C0">
            <w:pPr>
              <w:spacing w:line="240" w:lineRule="auto"/>
              <w:jc w:val="left"/>
              <w:rPr>
                <w:sz w:val="18"/>
                <w:szCs w:val="18"/>
                <w:lang w:val="en-GB"/>
              </w:rPr>
            </w:pPr>
            <w:r w:rsidRPr="003337C0">
              <w:rPr>
                <w:sz w:val="18"/>
                <w:szCs w:val="18"/>
                <w:lang w:val="en-GB"/>
              </w:rPr>
              <w:t>3493 ± 1964</w:t>
            </w:r>
          </w:p>
        </w:tc>
        <w:tc>
          <w:tcPr>
            <w:tcW w:w="1559" w:type="dxa"/>
            <w:tcBorders>
              <w:top w:val="nil"/>
              <w:bottom w:val="single" w:sz="4" w:space="0" w:color="auto"/>
            </w:tcBorders>
            <w:vAlign w:val="center"/>
          </w:tcPr>
          <w:p w14:paraId="1ACCE534" w14:textId="77777777" w:rsidR="00FA3112" w:rsidRPr="003337C0" w:rsidRDefault="00FA3112" w:rsidP="003337C0">
            <w:pPr>
              <w:spacing w:line="240" w:lineRule="auto"/>
              <w:jc w:val="left"/>
              <w:rPr>
                <w:sz w:val="18"/>
                <w:szCs w:val="18"/>
                <w:lang w:val="en-GB"/>
              </w:rPr>
            </w:pPr>
            <w:r w:rsidRPr="003337C0">
              <w:rPr>
                <w:sz w:val="18"/>
                <w:szCs w:val="18"/>
                <w:lang w:val="en-GB"/>
              </w:rPr>
              <w:t>1972 ± 700</w:t>
            </w:r>
          </w:p>
        </w:tc>
        <w:tc>
          <w:tcPr>
            <w:tcW w:w="1417" w:type="dxa"/>
            <w:tcBorders>
              <w:top w:val="nil"/>
              <w:bottom w:val="single" w:sz="4" w:space="0" w:color="auto"/>
            </w:tcBorders>
            <w:vAlign w:val="center"/>
          </w:tcPr>
          <w:p w14:paraId="4181B6DC" w14:textId="77777777" w:rsidR="00FA3112" w:rsidRPr="003337C0" w:rsidRDefault="00FA3112" w:rsidP="003337C0">
            <w:pPr>
              <w:spacing w:line="240" w:lineRule="auto"/>
              <w:jc w:val="left"/>
              <w:rPr>
                <w:sz w:val="18"/>
                <w:szCs w:val="18"/>
                <w:lang w:val="en-GB"/>
              </w:rPr>
            </w:pPr>
            <w:r w:rsidRPr="003337C0">
              <w:rPr>
                <w:sz w:val="18"/>
                <w:szCs w:val="18"/>
                <w:lang w:val="en-GB"/>
              </w:rPr>
              <w:t>986 ± 1434</w:t>
            </w:r>
          </w:p>
        </w:tc>
        <w:tc>
          <w:tcPr>
            <w:tcW w:w="1276" w:type="dxa"/>
            <w:tcBorders>
              <w:top w:val="nil"/>
              <w:bottom w:val="single" w:sz="4" w:space="0" w:color="auto"/>
            </w:tcBorders>
            <w:vAlign w:val="center"/>
          </w:tcPr>
          <w:p w14:paraId="2850EDE4" w14:textId="77777777" w:rsidR="00FA3112" w:rsidRPr="003337C0" w:rsidRDefault="00FA3112" w:rsidP="003337C0">
            <w:pPr>
              <w:spacing w:line="240" w:lineRule="auto"/>
              <w:jc w:val="left"/>
              <w:rPr>
                <w:sz w:val="18"/>
                <w:szCs w:val="18"/>
                <w:lang w:val="en-GB"/>
              </w:rPr>
            </w:pPr>
            <w:r w:rsidRPr="003337C0">
              <w:rPr>
                <w:sz w:val="18"/>
                <w:szCs w:val="18"/>
                <w:lang w:val="en-GB"/>
              </w:rPr>
              <w:t>599 ± 668</w:t>
            </w:r>
          </w:p>
        </w:tc>
        <w:tc>
          <w:tcPr>
            <w:tcW w:w="1419" w:type="dxa"/>
            <w:tcBorders>
              <w:top w:val="nil"/>
              <w:bottom w:val="single" w:sz="4" w:space="0" w:color="auto"/>
            </w:tcBorders>
            <w:vAlign w:val="center"/>
          </w:tcPr>
          <w:p w14:paraId="43C300BF" w14:textId="77777777" w:rsidR="00FA3112" w:rsidRPr="003337C0" w:rsidRDefault="00FA3112" w:rsidP="003337C0">
            <w:pPr>
              <w:spacing w:line="240" w:lineRule="auto"/>
              <w:jc w:val="left"/>
              <w:rPr>
                <w:sz w:val="18"/>
                <w:szCs w:val="18"/>
                <w:lang w:val="en-GB"/>
              </w:rPr>
            </w:pPr>
            <w:r w:rsidRPr="003337C0">
              <w:rPr>
                <w:sz w:val="18"/>
                <w:szCs w:val="18"/>
                <w:lang w:val="en-GB"/>
              </w:rPr>
              <w:t>601 ± 694</w:t>
            </w:r>
          </w:p>
        </w:tc>
      </w:tr>
      <w:tr w:rsidR="00FA3112" w:rsidRPr="003337C0" w14:paraId="1BEF929B" w14:textId="77777777" w:rsidTr="00AC363A">
        <w:trPr>
          <w:trHeight w:val="164"/>
        </w:trPr>
        <w:tc>
          <w:tcPr>
            <w:tcW w:w="3969" w:type="dxa"/>
            <w:tcBorders>
              <w:bottom w:val="nil"/>
            </w:tcBorders>
            <w:shd w:val="clear" w:color="auto" w:fill="D9D9D9" w:themeFill="background1" w:themeFillShade="D9"/>
            <w:vAlign w:val="center"/>
          </w:tcPr>
          <w:p w14:paraId="4A576D57"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- 6 years lifetime</w:t>
            </w:r>
          </w:p>
        </w:tc>
        <w:tc>
          <w:tcPr>
            <w:tcW w:w="1276" w:type="dxa"/>
            <w:tcBorders>
              <w:bottom w:val="nil"/>
            </w:tcBorders>
            <w:shd w:val="clear" w:color="auto" w:fill="D9D9D9" w:themeFill="background1" w:themeFillShade="D9"/>
            <w:vAlign w:val="center"/>
          </w:tcPr>
          <w:p w14:paraId="170A79AD" w14:textId="77777777" w:rsidR="00FA3112" w:rsidRPr="003337C0" w:rsidRDefault="00FA3112" w:rsidP="003337C0">
            <w:pPr>
              <w:tabs>
                <w:tab w:val="left" w:pos="1005"/>
              </w:tabs>
              <w:spacing w:line="240" w:lineRule="auto"/>
              <w:jc w:val="left"/>
              <w:rPr>
                <w:sz w:val="18"/>
                <w:szCs w:val="18"/>
                <w:lang w:val="en-GB"/>
              </w:rPr>
            </w:pPr>
            <w:r w:rsidRPr="003337C0">
              <w:rPr>
                <w:sz w:val="18"/>
                <w:szCs w:val="18"/>
                <w:lang w:val="en-GB"/>
              </w:rPr>
              <w:t>-</w:t>
            </w:r>
          </w:p>
        </w:tc>
        <w:tc>
          <w:tcPr>
            <w:tcW w:w="1418" w:type="dxa"/>
            <w:gridSpan w:val="2"/>
            <w:tcBorders>
              <w:bottom w:val="nil"/>
            </w:tcBorders>
            <w:shd w:val="clear" w:color="auto" w:fill="D9D9D9" w:themeFill="background1" w:themeFillShade="D9"/>
            <w:vAlign w:val="center"/>
          </w:tcPr>
          <w:p w14:paraId="07EA97E0" w14:textId="77777777" w:rsidR="00FA3112" w:rsidRPr="003337C0" w:rsidRDefault="00FA3112" w:rsidP="003337C0">
            <w:pPr>
              <w:spacing w:line="240" w:lineRule="auto"/>
              <w:jc w:val="left"/>
              <w:rPr>
                <w:sz w:val="18"/>
                <w:szCs w:val="18"/>
                <w:lang w:val="en-GB"/>
              </w:rPr>
            </w:pPr>
            <w:r w:rsidRPr="003337C0">
              <w:rPr>
                <w:sz w:val="18"/>
                <w:szCs w:val="18"/>
                <w:lang w:val="en-GB"/>
              </w:rPr>
              <w:t>13533</w:t>
            </w:r>
            <w:r w:rsidRPr="003337C0">
              <w:rPr>
                <w:sz w:val="18"/>
                <w:szCs w:val="18"/>
                <w:vertAlign w:val="superscript"/>
                <w:lang w:val="en-GB"/>
              </w:rPr>
              <w:t>a</w:t>
            </w:r>
          </w:p>
        </w:tc>
        <w:tc>
          <w:tcPr>
            <w:tcW w:w="1701" w:type="dxa"/>
            <w:gridSpan w:val="2"/>
            <w:tcBorders>
              <w:bottom w:val="nil"/>
            </w:tcBorders>
            <w:shd w:val="clear" w:color="auto" w:fill="D9D9D9" w:themeFill="background1" w:themeFillShade="D9"/>
            <w:vAlign w:val="center"/>
          </w:tcPr>
          <w:p w14:paraId="4DD11E6D" w14:textId="77777777" w:rsidR="00FA3112" w:rsidRPr="003337C0" w:rsidRDefault="00FA3112" w:rsidP="003337C0">
            <w:pPr>
              <w:spacing w:line="240" w:lineRule="auto"/>
              <w:jc w:val="left"/>
              <w:rPr>
                <w:sz w:val="18"/>
                <w:szCs w:val="18"/>
                <w:lang w:val="en-GB"/>
              </w:rPr>
            </w:pPr>
            <w:r w:rsidRPr="003337C0">
              <w:rPr>
                <w:sz w:val="18"/>
                <w:szCs w:val="18"/>
                <w:lang w:val="en-GB"/>
              </w:rPr>
              <w:t>6895 ± 3992</w:t>
            </w:r>
          </w:p>
        </w:tc>
        <w:tc>
          <w:tcPr>
            <w:tcW w:w="1559" w:type="dxa"/>
            <w:tcBorders>
              <w:bottom w:val="nil"/>
            </w:tcBorders>
            <w:shd w:val="clear" w:color="auto" w:fill="D9D9D9" w:themeFill="background1" w:themeFillShade="D9"/>
            <w:vAlign w:val="center"/>
          </w:tcPr>
          <w:p w14:paraId="6A892252" w14:textId="77777777" w:rsidR="00FA3112" w:rsidRPr="003337C0" w:rsidRDefault="00FA3112" w:rsidP="003337C0">
            <w:pPr>
              <w:spacing w:line="240" w:lineRule="auto"/>
              <w:jc w:val="left"/>
              <w:rPr>
                <w:sz w:val="18"/>
                <w:szCs w:val="18"/>
                <w:lang w:val="en-GB"/>
              </w:rPr>
            </w:pPr>
            <w:r w:rsidRPr="003337C0">
              <w:rPr>
                <w:sz w:val="18"/>
                <w:szCs w:val="18"/>
                <w:lang w:val="en-GB"/>
              </w:rPr>
              <w:t>-662 ± 1788</w:t>
            </w:r>
          </w:p>
        </w:tc>
        <w:tc>
          <w:tcPr>
            <w:tcW w:w="1417" w:type="dxa"/>
            <w:tcBorders>
              <w:bottom w:val="nil"/>
            </w:tcBorders>
            <w:shd w:val="clear" w:color="auto" w:fill="D9D9D9" w:themeFill="background1" w:themeFillShade="D9"/>
            <w:vAlign w:val="center"/>
          </w:tcPr>
          <w:p w14:paraId="29F6A51E" w14:textId="77777777" w:rsidR="00FA3112" w:rsidRPr="003337C0" w:rsidRDefault="00FA3112" w:rsidP="003337C0">
            <w:pPr>
              <w:spacing w:line="240" w:lineRule="auto"/>
              <w:jc w:val="left"/>
              <w:rPr>
                <w:sz w:val="18"/>
                <w:szCs w:val="18"/>
                <w:lang w:val="en-GB"/>
              </w:rPr>
            </w:pPr>
            <w:r w:rsidRPr="003337C0">
              <w:rPr>
                <w:sz w:val="18"/>
                <w:szCs w:val="18"/>
                <w:lang w:val="en-GB"/>
              </w:rPr>
              <w:t>-1017 ± 827</w:t>
            </w:r>
          </w:p>
        </w:tc>
        <w:tc>
          <w:tcPr>
            <w:tcW w:w="1276" w:type="dxa"/>
            <w:tcBorders>
              <w:bottom w:val="nil"/>
            </w:tcBorders>
            <w:shd w:val="clear" w:color="auto" w:fill="D9D9D9" w:themeFill="background1" w:themeFillShade="D9"/>
            <w:vAlign w:val="center"/>
          </w:tcPr>
          <w:p w14:paraId="76293701" w14:textId="77777777" w:rsidR="00FA3112" w:rsidRPr="003337C0" w:rsidRDefault="00FA3112" w:rsidP="003337C0">
            <w:pPr>
              <w:spacing w:line="240" w:lineRule="auto"/>
              <w:jc w:val="left"/>
              <w:rPr>
                <w:sz w:val="18"/>
                <w:szCs w:val="18"/>
                <w:lang w:val="en-GB"/>
              </w:rPr>
            </w:pPr>
            <w:r w:rsidRPr="003337C0">
              <w:rPr>
                <w:sz w:val="18"/>
                <w:szCs w:val="18"/>
                <w:lang w:val="en-GB"/>
              </w:rPr>
              <w:t>-1190 ± 709</w:t>
            </w:r>
          </w:p>
        </w:tc>
        <w:tc>
          <w:tcPr>
            <w:tcW w:w="1419" w:type="dxa"/>
            <w:tcBorders>
              <w:bottom w:val="nil"/>
            </w:tcBorders>
            <w:shd w:val="clear" w:color="auto" w:fill="D9D9D9" w:themeFill="background1" w:themeFillShade="D9"/>
            <w:vAlign w:val="center"/>
          </w:tcPr>
          <w:p w14:paraId="263009AA" w14:textId="77777777" w:rsidR="00FA3112" w:rsidRPr="003337C0" w:rsidRDefault="00FA3112" w:rsidP="003337C0">
            <w:pPr>
              <w:spacing w:line="240" w:lineRule="auto"/>
              <w:jc w:val="left"/>
              <w:rPr>
                <w:sz w:val="18"/>
                <w:szCs w:val="18"/>
                <w:lang w:val="en-GB"/>
              </w:rPr>
            </w:pPr>
            <w:r w:rsidRPr="003337C0">
              <w:rPr>
                <w:sz w:val="18"/>
                <w:szCs w:val="18"/>
                <w:lang w:val="en-GB"/>
              </w:rPr>
              <w:t>-744 ± 539</w:t>
            </w:r>
          </w:p>
        </w:tc>
      </w:tr>
      <w:tr w:rsidR="00FA3112" w:rsidRPr="003337C0" w14:paraId="7C46F0EB" w14:textId="77777777" w:rsidTr="00AC363A">
        <w:trPr>
          <w:trHeight w:val="164"/>
        </w:trPr>
        <w:tc>
          <w:tcPr>
            <w:tcW w:w="3969" w:type="dxa"/>
            <w:tcBorders>
              <w:top w:val="nil"/>
            </w:tcBorders>
            <w:shd w:val="clear" w:color="auto" w:fill="D9D9D9" w:themeFill="background1" w:themeFillShade="D9"/>
            <w:vAlign w:val="center"/>
          </w:tcPr>
          <w:p w14:paraId="50D80199"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- 11 years lifetime</w:t>
            </w:r>
          </w:p>
        </w:tc>
        <w:tc>
          <w:tcPr>
            <w:tcW w:w="1276" w:type="dxa"/>
            <w:tcBorders>
              <w:top w:val="nil"/>
            </w:tcBorders>
            <w:shd w:val="clear" w:color="auto" w:fill="D9D9D9" w:themeFill="background1" w:themeFillShade="D9"/>
            <w:vAlign w:val="center"/>
          </w:tcPr>
          <w:p w14:paraId="09C23AC1"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top w:val="nil"/>
            </w:tcBorders>
            <w:shd w:val="clear" w:color="auto" w:fill="D9D9D9" w:themeFill="background1" w:themeFillShade="D9"/>
            <w:vAlign w:val="center"/>
          </w:tcPr>
          <w:p w14:paraId="7B54AE5D" w14:textId="77777777" w:rsidR="00FA3112" w:rsidRPr="003337C0" w:rsidRDefault="00FA3112" w:rsidP="003337C0">
            <w:pPr>
              <w:spacing w:line="240" w:lineRule="auto"/>
              <w:jc w:val="left"/>
              <w:rPr>
                <w:sz w:val="18"/>
                <w:szCs w:val="18"/>
                <w:lang w:val="en-GB"/>
              </w:rPr>
            </w:pPr>
            <w:r w:rsidRPr="003337C0">
              <w:rPr>
                <w:sz w:val="18"/>
                <w:szCs w:val="18"/>
                <w:lang w:val="en-GB"/>
              </w:rPr>
              <w:t>6651</w:t>
            </w:r>
            <w:r w:rsidRPr="003337C0">
              <w:rPr>
                <w:sz w:val="18"/>
                <w:szCs w:val="18"/>
                <w:vertAlign w:val="superscript"/>
                <w:lang w:val="en-GB"/>
              </w:rPr>
              <w:t>a</w:t>
            </w:r>
          </w:p>
        </w:tc>
        <w:tc>
          <w:tcPr>
            <w:tcW w:w="1701" w:type="dxa"/>
            <w:gridSpan w:val="2"/>
            <w:tcBorders>
              <w:top w:val="nil"/>
            </w:tcBorders>
            <w:shd w:val="clear" w:color="auto" w:fill="D9D9D9" w:themeFill="background1" w:themeFillShade="D9"/>
            <w:vAlign w:val="center"/>
          </w:tcPr>
          <w:p w14:paraId="7AB22516" w14:textId="77777777" w:rsidR="00FA3112" w:rsidRPr="003337C0" w:rsidRDefault="00FA3112" w:rsidP="003337C0">
            <w:pPr>
              <w:spacing w:line="240" w:lineRule="auto"/>
              <w:jc w:val="left"/>
              <w:rPr>
                <w:sz w:val="18"/>
                <w:szCs w:val="18"/>
                <w:lang w:val="en-GB"/>
              </w:rPr>
            </w:pPr>
            <w:r w:rsidRPr="003337C0">
              <w:rPr>
                <w:sz w:val="18"/>
                <w:szCs w:val="18"/>
                <w:lang w:val="en-GB"/>
              </w:rPr>
              <w:t>3379 ± 1991</w:t>
            </w:r>
          </w:p>
        </w:tc>
        <w:tc>
          <w:tcPr>
            <w:tcW w:w="1559" w:type="dxa"/>
            <w:tcBorders>
              <w:top w:val="nil"/>
            </w:tcBorders>
            <w:shd w:val="clear" w:color="auto" w:fill="D9D9D9" w:themeFill="background1" w:themeFillShade="D9"/>
            <w:vAlign w:val="center"/>
          </w:tcPr>
          <w:p w14:paraId="1F45AE36" w14:textId="77777777" w:rsidR="00FA3112" w:rsidRPr="003337C0" w:rsidRDefault="00FA3112" w:rsidP="003337C0">
            <w:pPr>
              <w:spacing w:line="240" w:lineRule="auto"/>
              <w:jc w:val="left"/>
              <w:rPr>
                <w:sz w:val="18"/>
                <w:szCs w:val="18"/>
                <w:lang w:val="en-GB"/>
              </w:rPr>
            </w:pPr>
            <w:r w:rsidRPr="003337C0">
              <w:rPr>
                <w:sz w:val="18"/>
                <w:szCs w:val="18"/>
                <w:lang w:val="en-GB"/>
              </w:rPr>
              <w:t>-713 ± 775</w:t>
            </w:r>
          </w:p>
        </w:tc>
        <w:tc>
          <w:tcPr>
            <w:tcW w:w="1417" w:type="dxa"/>
            <w:tcBorders>
              <w:top w:val="nil"/>
            </w:tcBorders>
            <w:shd w:val="clear" w:color="auto" w:fill="D9D9D9" w:themeFill="background1" w:themeFillShade="D9"/>
            <w:vAlign w:val="center"/>
          </w:tcPr>
          <w:p w14:paraId="4F3912C7" w14:textId="77777777" w:rsidR="00FA3112" w:rsidRPr="003337C0" w:rsidRDefault="00FA3112" w:rsidP="003337C0">
            <w:pPr>
              <w:spacing w:line="240" w:lineRule="auto"/>
              <w:jc w:val="left"/>
              <w:rPr>
                <w:sz w:val="18"/>
                <w:szCs w:val="18"/>
                <w:lang w:val="en-GB"/>
              </w:rPr>
            </w:pPr>
            <w:r w:rsidRPr="003337C0">
              <w:rPr>
                <w:sz w:val="18"/>
                <w:szCs w:val="18"/>
                <w:lang w:val="en-GB"/>
              </w:rPr>
              <w:t>-937 ± 447</w:t>
            </w:r>
          </w:p>
        </w:tc>
        <w:tc>
          <w:tcPr>
            <w:tcW w:w="1276" w:type="dxa"/>
            <w:tcBorders>
              <w:top w:val="nil"/>
            </w:tcBorders>
            <w:shd w:val="clear" w:color="auto" w:fill="D9D9D9" w:themeFill="background1" w:themeFillShade="D9"/>
            <w:vAlign w:val="center"/>
          </w:tcPr>
          <w:p w14:paraId="5B9228DE" w14:textId="77777777" w:rsidR="00FA3112" w:rsidRPr="003337C0" w:rsidRDefault="00FA3112" w:rsidP="003337C0">
            <w:pPr>
              <w:spacing w:line="240" w:lineRule="auto"/>
              <w:jc w:val="left"/>
              <w:rPr>
                <w:sz w:val="18"/>
                <w:szCs w:val="18"/>
                <w:lang w:val="en-GB"/>
              </w:rPr>
            </w:pPr>
            <w:r w:rsidRPr="003337C0">
              <w:rPr>
                <w:sz w:val="18"/>
                <w:szCs w:val="18"/>
                <w:lang w:val="en-GB"/>
              </w:rPr>
              <w:t>-915 ± 390</w:t>
            </w:r>
          </w:p>
        </w:tc>
        <w:tc>
          <w:tcPr>
            <w:tcW w:w="1419" w:type="dxa"/>
            <w:tcBorders>
              <w:top w:val="nil"/>
            </w:tcBorders>
            <w:shd w:val="clear" w:color="auto" w:fill="D9D9D9" w:themeFill="background1" w:themeFillShade="D9"/>
            <w:vAlign w:val="center"/>
          </w:tcPr>
          <w:p w14:paraId="1136BEEB" w14:textId="77777777" w:rsidR="00FA3112" w:rsidRPr="003337C0" w:rsidRDefault="00FA3112" w:rsidP="003337C0">
            <w:pPr>
              <w:spacing w:line="240" w:lineRule="auto"/>
              <w:jc w:val="left"/>
              <w:rPr>
                <w:sz w:val="18"/>
                <w:szCs w:val="18"/>
                <w:lang w:val="en-GB"/>
              </w:rPr>
            </w:pPr>
            <w:r w:rsidRPr="003337C0">
              <w:rPr>
                <w:sz w:val="18"/>
                <w:szCs w:val="18"/>
                <w:lang w:val="en-GB"/>
              </w:rPr>
              <w:t>-672 ± 371</w:t>
            </w:r>
          </w:p>
        </w:tc>
      </w:tr>
      <w:tr w:rsidR="00FA3112" w:rsidRPr="007C5909" w14:paraId="61E3A7E9" w14:textId="77777777" w:rsidTr="00AC363A">
        <w:trPr>
          <w:trHeight w:val="164"/>
        </w:trPr>
        <w:tc>
          <w:tcPr>
            <w:tcW w:w="3969" w:type="dxa"/>
            <w:tcBorders>
              <w:bottom w:val="single" w:sz="4" w:space="0" w:color="auto"/>
            </w:tcBorders>
            <w:shd w:val="clear" w:color="auto" w:fill="auto"/>
            <w:vAlign w:val="center"/>
          </w:tcPr>
          <w:p w14:paraId="48956660" w14:textId="77777777" w:rsidR="00FA3112" w:rsidRPr="003337C0" w:rsidRDefault="00FA3112" w:rsidP="003337C0">
            <w:pPr>
              <w:spacing w:line="240" w:lineRule="auto"/>
              <w:jc w:val="left"/>
              <w:rPr>
                <w:sz w:val="18"/>
                <w:szCs w:val="18"/>
                <w:lang w:val="en-GB"/>
              </w:rPr>
            </w:pPr>
          </w:p>
        </w:tc>
        <w:tc>
          <w:tcPr>
            <w:tcW w:w="10066" w:type="dxa"/>
            <w:gridSpan w:val="9"/>
            <w:tcBorders>
              <w:bottom w:val="single" w:sz="4" w:space="0" w:color="auto"/>
            </w:tcBorders>
            <w:shd w:val="clear" w:color="auto" w:fill="auto"/>
            <w:vAlign w:val="center"/>
          </w:tcPr>
          <w:p w14:paraId="26854638" w14:textId="77777777" w:rsidR="00FA3112" w:rsidRPr="003337C0" w:rsidRDefault="00FA3112" w:rsidP="003337C0">
            <w:pPr>
              <w:spacing w:line="240" w:lineRule="auto"/>
              <w:jc w:val="center"/>
              <w:rPr>
                <w:sz w:val="18"/>
                <w:szCs w:val="18"/>
                <w:lang w:val="en-GB"/>
              </w:rPr>
            </w:pPr>
            <w:r w:rsidRPr="003337C0">
              <w:rPr>
                <w:sz w:val="18"/>
                <w:szCs w:val="18"/>
                <w:lang w:val="en-GB"/>
              </w:rPr>
              <w:t>Scenario IV: Emissions along the well-to-wheel chain and from battery manufacturing</w:t>
            </w:r>
          </w:p>
        </w:tc>
      </w:tr>
      <w:tr w:rsidR="00FA3112" w:rsidRPr="003337C0" w14:paraId="671D4F96" w14:textId="77777777" w:rsidTr="00AC363A">
        <w:trPr>
          <w:trHeight w:val="164"/>
        </w:trPr>
        <w:tc>
          <w:tcPr>
            <w:tcW w:w="3969" w:type="dxa"/>
            <w:tcBorders>
              <w:bottom w:val="nil"/>
            </w:tcBorders>
            <w:vAlign w:val="center"/>
          </w:tcPr>
          <w:p w14:paraId="75AD801D" w14:textId="77777777" w:rsidR="00FA3112" w:rsidRPr="003337C0" w:rsidRDefault="00FA3112" w:rsidP="003337C0">
            <w:pPr>
              <w:spacing w:line="240" w:lineRule="auto"/>
              <w:jc w:val="left"/>
              <w:rPr>
                <w:sz w:val="18"/>
                <w:szCs w:val="18"/>
                <w:lang w:val="en-GB"/>
              </w:rPr>
            </w:pPr>
            <w:r w:rsidRPr="003337C0">
              <w:rPr>
                <w:sz w:val="18"/>
                <w:szCs w:val="18"/>
                <w:lang w:val="en-GB"/>
              </w:rPr>
              <w:t>Electric cars - 6 years lifetime</w:t>
            </w:r>
          </w:p>
        </w:tc>
        <w:tc>
          <w:tcPr>
            <w:tcW w:w="1276" w:type="dxa"/>
            <w:tcBorders>
              <w:bottom w:val="nil"/>
            </w:tcBorders>
            <w:vAlign w:val="center"/>
          </w:tcPr>
          <w:p w14:paraId="1C18DD03" w14:textId="77777777" w:rsidR="00FA3112" w:rsidRPr="003337C0" w:rsidRDefault="00FA3112" w:rsidP="003337C0">
            <w:pPr>
              <w:spacing w:line="240" w:lineRule="auto"/>
              <w:jc w:val="left"/>
              <w:rPr>
                <w:sz w:val="18"/>
                <w:szCs w:val="18"/>
                <w:lang w:val="en-GB"/>
              </w:rPr>
            </w:pPr>
            <w:r w:rsidRPr="003337C0">
              <w:rPr>
                <w:sz w:val="18"/>
                <w:szCs w:val="18"/>
                <w:lang w:val="en-GB"/>
              </w:rPr>
              <w:t>-1727 ± 92134</w:t>
            </w:r>
          </w:p>
        </w:tc>
        <w:tc>
          <w:tcPr>
            <w:tcW w:w="1418" w:type="dxa"/>
            <w:gridSpan w:val="2"/>
            <w:tcBorders>
              <w:bottom w:val="nil"/>
            </w:tcBorders>
            <w:vAlign w:val="center"/>
          </w:tcPr>
          <w:p w14:paraId="00E374F7" w14:textId="77777777" w:rsidR="00FA3112" w:rsidRPr="003337C0" w:rsidRDefault="00FA3112" w:rsidP="003337C0">
            <w:pPr>
              <w:spacing w:line="240" w:lineRule="auto"/>
              <w:jc w:val="left"/>
              <w:rPr>
                <w:sz w:val="18"/>
                <w:szCs w:val="18"/>
                <w:lang w:val="en-GB"/>
              </w:rPr>
            </w:pPr>
            <w:r w:rsidRPr="003337C0">
              <w:rPr>
                <w:sz w:val="18"/>
                <w:szCs w:val="18"/>
                <w:lang w:val="en-GB"/>
              </w:rPr>
              <w:t>5912 ± 13193</w:t>
            </w:r>
          </w:p>
        </w:tc>
        <w:tc>
          <w:tcPr>
            <w:tcW w:w="1701" w:type="dxa"/>
            <w:gridSpan w:val="2"/>
            <w:tcBorders>
              <w:bottom w:val="nil"/>
            </w:tcBorders>
            <w:vAlign w:val="center"/>
          </w:tcPr>
          <w:p w14:paraId="310AD60A" w14:textId="77777777" w:rsidR="00FA3112" w:rsidRPr="003337C0" w:rsidRDefault="00FA3112" w:rsidP="003337C0">
            <w:pPr>
              <w:spacing w:line="240" w:lineRule="auto"/>
              <w:jc w:val="left"/>
              <w:rPr>
                <w:sz w:val="18"/>
                <w:szCs w:val="18"/>
                <w:lang w:val="en-GB"/>
              </w:rPr>
            </w:pPr>
            <w:r w:rsidRPr="003337C0">
              <w:rPr>
                <w:sz w:val="18"/>
                <w:szCs w:val="18"/>
                <w:lang w:val="en-GB"/>
              </w:rPr>
              <w:t>5728 ± 17934</w:t>
            </w:r>
          </w:p>
        </w:tc>
        <w:tc>
          <w:tcPr>
            <w:tcW w:w="1559" w:type="dxa"/>
            <w:tcBorders>
              <w:bottom w:val="nil"/>
            </w:tcBorders>
            <w:vAlign w:val="center"/>
          </w:tcPr>
          <w:p w14:paraId="07C1FADB" w14:textId="77777777" w:rsidR="00FA3112" w:rsidRPr="003337C0" w:rsidRDefault="00FA3112" w:rsidP="003337C0">
            <w:pPr>
              <w:spacing w:line="240" w:lineRule="auto"/>
              <w:jc w:val="left"/>
              <w:rPr>
                <w:sz w:val="18"/>
                <w:szCs w:val="18"/>
                <w:lang w:val="en-GB"/>
              </w:rPr>
            </w:pPr>
            <w:r w:rsidRPr="003337C0">
              <w:rPr>
                <w:sz w:val="18"/>
                <w:szCs w:val="18"/>
                <w:lang w:val="en-GB"/>
              </w:rPr>
              <w:t>4464 ± 12278</w:t>
            </w:r>
          </w:p>
        </w:tc>
        <w:tc>
          <w:tcPr>
            <w:tcW w:w="1417" w:type="dxa"/>
            <w:tcBorders>
              <w:bottom w:val="nil"/>
            </w:tcBorders>
            <w:vAlign w:val="center"/>
          </w:tcPr>
          <w:p w14:paraId="37C14B89" w14:textId="77777777" w:rsidR="00FA3112" w:rsidRPr="003337C0" w:rsidRDefault="00FA3112" w:rsidP="003337C0">
            <w:pPr>
              <w:spacing w:line="240" w:lineRule="auto"/>
              <w:jc w:val="left"/>
              <w:rPr>
                <w:sz w:val="18"/>
                <w:szCs w:val="18"/>
                <w:lang w:val="en-GB"/>
              </w:rPr>
            </w:pPr>
            <w:r w:rsidRPr="003337C0">
              <w:rPr>
                <w:sz w:val="18"/>
                <w:szCs w:val="18"/>
                <w:lang w:val="en-GB"/>
              </w:rPr>
              <w:t>3304 ± 9579</w:t>
            </w:r>
          </w:p>
        </w:tc>
        <w:tc>
          <w:tcPr>
            <w:tcW w:w="1276" w:type="dxa"/>
            <w:tcBorders>
              <w:bottom w:val="nil"/>
            </w:tcBorders>
            <w:vAlign w:val="center"/>
          </w:tcPr>
          <w:p w14:paraId="0D7B89CC" w14:textId="77777777" w:rsidR="00FA3112" w:rsidRPr="003337C0" w:rsidRDefault="00FA3112" w:rsidP="003337C0">
            <w:pPr>
              <w:spacing w:line="240" w:lineRule="auto"/>
              <w:jc w:val="left"/>
              <w:rPr>
                <w:sz w:val="18"/>
                <w:szCs w:val="18"/>
                <w:lang w:val="en-GB"/>
              </w:rPr>
            </w:pPr>
            <w:r w:rsidRPr="003337C0">
              <w:rPr>
                <w:sz w:val="18"/>
                <w:szCs w:val="18"/>
                <w:lang w:val="en-GB"/>
              </w:rPr>
              <w:t>1635 ± 5850</w:t>
            </w:r>
          </w:p>
        </w:tc>
        <w:tc>
          <w:tcPr>
            <w:tcW w:w="1419" w:type="dxa"/>
            <w:tcBorders>
              <w:bottom w:val="nil"/>
            </w:tcBorders>
            <w:vAlign w:val="center"/>
          </w:tcPr>
          <w:p w14:paraId="576209C3" w14:textId="77777777" w:rsidR="00FA3112" w:rsidRPr="003337C0" w:rsidRDefault="00FA3112" w:rsidP="003337C0">
            <w:pPr>
              <w:spacing w:line="240" w:lineRule="auto"/>
              <w:jc w:val="left"/>
              <w:rPr>
                <w:sz w:val="18"/>
                <w:szCs w:val="18"/>
                <w:lang w:val="en-GB"/>
              </w:rPr>
            </w:pPr>
            <w:r w:rsidRPr="003337C0">
              <w:rPr>
                <w:sz w:val="18"/>
                <w:szCs w:val="18"/>
                <w:lang w:val="en-GB"/>
              </w:rPr>
              <w:t>-1284 ± 5611</w:t>
            </w:r>
          </w:p>
        </w:tc>
      </w:tr>
      <w:tr w:rsidR="00FA3112" w:rsidRPr="003337C0" w14:paraId="17C1314C" w14:textId="77777777" w:rsidTr="00AC363A">
        <w:trPr>
          <w:trHeight w:val="164"/>
        </w:trPr>
        <w:tc>
          <w:tcPr>
            <w:tcW w:w="3969" w:type="dxa"/>
            <w:tcBorders>
              <w:top w:val="nil"/>
              <w:bottom w:val="single" w:sz="4" w:space="0" w:color="auto"/>
            </w:tcBorders>
            <w:vAlign w:val="center"/>
          </w:tcPr>
          <w:p w14:paraId="6A830DD9" w14:textId="77777777" w:rsidR="00FA3112" w:rsidRPr="003337C0" w:rsidRDefault="00FA3112" w:rsidP="003337C0">
            <w:pPr>
              <w:spacing w:line="240" w:lineRule="auto"/>
              <w:jc w:val="left"/>
              <w:rPr>
                <w:sz w:val="18"/>
                <w:szCs w:val="18"/>
                <w:lang w:val="en-GB"/>
              </w:rPr>
            </w:pPr>
            <w:r w:rsidRPr="003337C0">
              <w:rPr>
                <w:sz w:val="18"/>
                <w:szCs w:val="18"/>
                <w:lang w:val="en-GB"/>
              </w:rPr>
              <w:t>Electric cars - 11 years lifetime</w:t>
            </w:r>
          </w:p>
        </w:tc>
        <w:tc>
          <w:tcPr>
            <w:tcW w:w="1276" w:type="dxa"/>
            <w:tcBorders>
              <w:top w:val="nil"/>
              <w:bottom w:val="single" w:sz="4" w:space="0" w:color="auto"/>
            </w:tcBorders>
            <w:vAlign w:val="center"/>
          </w:tcPr>
          <w:p w14:paraId="40B72E4D" w14:textId="77777777" w:rsidR="00FA3112" w:rsidRPr="003337C0" w:rsidRDefault="00FA3112" w:rsidP="003337C0">
            <w:pPr>
              <w:spacing w:line="240" w:lineRule="auto"/>
              <w:jc w:val="left"/>
              <w:rPr>
                <w:sz w:val="18"/>
                <w:szCs w:val="18"/>
                <w:lang w:val="en-GB"/>
              </w:rPr>
            </w:pPr>
            <w:r w:rsidRPr="003337C0">
              <w:rPr>
                <w:sz w:val="18"/>
                <w:szCs w:val="18"/>
                <w:lang w:val="en-GB"/>
              </w:rPr>
              <w:t>5271 ± 5232</w:t>
            </w:r>
          </w:p>
        </w:tc>
        <w:tc>
          <w:tcPr>
            <w:tcW w:w="1418" w:type="dxa"/>
            <w:gridSpan w:val="2"/>
            <w:tcBorders>
              <w:top w:val="nil"/>
              <w:bottom w:val="single" w:sz="4" w:space="0" w:color="auto"/>
            </w:tcBorders>
            <w:vAlign w:val="center"/>
          </w:tcPr>
          <w:p w14:paraId="4E780C19" w14:textId="77777777" w:rsidR="00FA3112" w:rsidRPr="003337C0" w:rsidRDefault="00FA3112" w:rsidP="003337C0">
            <w:pPr>
              <w:spacing w:line="240" w:lineRule="auto"/>
              <w:jc w:val="left"/>
              <w:rPr>
                <w:sz w:val="18"/>
                <w:szCs w:val="18"/>
                <w:lang w:val="en-GB"/>
              </w:rPr>
            </w:pPr>
            <w:r w:rsidRPr="003337C0">
              <w:rPr>
                <w:sz w:val="18"/>
                <w:szCs w:val="18"/>
                <w:lang w:val="en-GB"/>
              </w:rPr>
              <w:t>2265 ± 3125</w:t>
            </w:r>
          </w:p>
        </w:tc>
        <w:tc>
          <w:tcPr>
            <w:tcW w:w="1701" w:type="dxa"/>
            <w:gridSpan w:val="2"/>
            <w:tcBorders>
              <w:top w:val="nil"/>
              <w:bottom w:val="single" w:sz="4" w:space="0" w:color="auto"/>
            </w:tcBorders>
            <w:vAlign w:val="center"/>
          </w:tcPr>
          <w:p w14:paraId="6E7509E6" w14:textId="77777777" w:rsidR="00FA3112" w:rsidRPr="003337C0" w:rsidRDefault="00FA3112" w:rsidP="003337C0">
            <w:pPr>
              <w:spacing w:line="240" w:lineRule="auto"/>
              <w:jc w:val="left"/>
              <w:rPr>
                <w:sz w:val="18"/>
                <w:szCs w:val="18"/>
                <w:lang w:val="en-GB"/>
              </w:rPr>
            </w:pPr>
            <w:r w:rsidRPr="003337C0">
              <w:rPr>
                <w:sz w:val="18"/>
                <w:szCs w:val="18"/>
                <w:lang w:val="en-GB"/>
              </w:rPr>
              <w:t>5954 ± 2029</w:t>
            </w:r>
          </w:p>
        </w:tc>
        <w:tc>
          <w:tcPr>
            <w:tcW w:w="1559" w:type="dxa"/>
            <w:tcBorders>
              <w:top w:val="nil"/>
              <w:bottom w:val="single" w:sz="4" w:space="0" w:color="auto"/>
            </w:tcBorders>
            <w:vAlign w:val="center"/>
          </w:tcPr>
          <w:p w14:paraId="1B09AF33" w14:textId="77777777" w:rsidR="00FA3112" w:rsidRPr="003337C0" w:rsidRDefault="00FA3112" w:rsidP="003337C0">
            <w:pPr>
              <w:spacing w:line="240" w:lineRule="auto"/>
              <w:jc w:val="left"/>
              <w:rPr>
                <w:sz w:val="18"/>
                <w:szCs w:val="18"/>
                <w:lang w:val="en-GB"/>
              </w:rPr>
            </w:pPr>
            <w:r w:rsidRPr="003337C0">
              <w:rPr>
                <w:sz w:val="18"/>
                <w:szCs w:val="18"/>
                <w:lang w:val="en-GB"/>
              </w:rPr>
              <w:t>2609 ± 1972</w:t>
            </w:r>
          </w:p>
        </w:tc>
        <w:tc>
          <w:tcPr>
            <w:tcW w:w="1417" w:type="dxa"/>
            <w:tcBorders>
              <w:top w:val="nil"/>
              <w:bottom w:val="single" w:sz="4" w:space="0" w:color="auto"/>
            </w:tcBorders>
            <w:vAlign w:val="center"/>
          </w:tcPr>
          <w:p w14:paraId="5D92E78E" w14:textId="77777777" w:rsidR="00FA3112" w:rsidRPr="003337C0" w:rsidRDefault="00FA3112" w:rsidP="003337C0">
            <w:pPr>
              <w:spacing w:line="240" w:lineRule="auto"/>
              <w:jc w:val="left"/>
              <w:rPr>
                <w:sz w:val="18"/>
                <w:szCs w:val="18"/>
                <w:lang w:val="en-GB"/>
              </w:rPr>
            </w:pPr>
            <w:r w:rsidRPr="003337C0">
              <w:rPr>
                <w:sz w:val="18"/>
                <w:szCs w:val="18"/>
                <w:lang w:val="en-GB"/>
              </w:rPr>
              <w:t>790 ± 1773</w:t>
            </w:r>
          </w:p>
        </w:tc>
        <w:tc>
          <w:tcPr>
            <w:tcW w:w="1276" w:type="dxa"/>
            <w:tcBorders>
              <w:top w:val="nil"/>
              <w:bottom w:val="single" w:sz="4" w:space="0" w:color="auto"/>
            </w:tcBorders>
            <w:vAlign w:val="center"/>
          </w:tcPr>
          <w:p w14:paraId="67CA1CFB" w14:textId="77777777" w:rsidR="00FA3112" w:rsidRPr="003337C0" w:rsidRDefault="00FA3112" w:rsidP="003337C0">
            <w:pPr>
              <w:spacing w:line="240" w:lineRule="auto"/>
              <w:jc w:val="left"/>
              <w:rPr>
                <w:sz w:val="18"/>
                <w:szCs w:val="18"/>
                <w:lang w:val="en-GB"/>
              </w:rPr>
            </w:pPr>
            <w:r w:rsidRPr="003337C0">
              <w:rPr>
                <w:sz w:val="18"/>
                <w:szCs w:val="18"/>
                <w:lang w:val="en-GB"/>
              </w:rPr>
              <w:t>706 ± 1323</w:t>
            </w:r>
          </w:p>
        </w:tc>
        <w:tc>
          <w:tcPr>
            <w:tcW w:w="1419" w:type="dxa"/>
            <w:tcBorders>
              <w:top w:val="nil"/>
              <w:bottom w:val="single" w:sz="4" w:space="0" w:color="auto"/>
            </w:tcBorders>
            <w:vAlign w:val="center"/>
          </w:tcPr>
          <w:p w14:paraId="4FC6C6B0" w14:textId="77777777" w:rsidR="00FA3112" w:rsidRPr="003337C0" w:rsidRDefault="00FA3112" w:rsidP="003337C0">
            <w:pPr>
              <w:spacing w:line="240" w:lineRule="auto"/>
              <w:jc w:val="left"/>
              <w:rPr>
                <w:sz w:val="18"/>
                <w:szCs w:val="18"/>
                <w:lang w:val="en-GB"/>
              </w:rPr>
            </w:pPr>
            <w:r w:rsidRPr="003337C0">
              <w:rPr>
                <w:sz w:val="18"/>
                <w:szCs w:val="18"/>
                <w:lang w:val="en-GB"/>
              </w:rPr>
              <w:t>1200 ± 1651</w:t>
            </w:r>
          </w:p>
        </w:tc>
      </w:tr>
      <w:tr w:rsidR="00FA3112" w:rsidRPr="003337C0" w14:paraId="1AE45939" w14:textId="77777777" w:rsidTr="00AC363A">
        <w:trPr>
          <w:trHeight w:val="164"/>
        </w:trPr>
        <w:tc>
          <w:tcPr>
            <w:tcW w:w="3969" w:type="dxa"/>
            <w:tcBorders>
              <w:bottom w:val="nil"/>
            </w:tcBorders>
            <w:shd w:val="clear" w:color="auto" w:fill="D9D9D9" w:themeFill="background1" w:themeFillShade="D9"/>
            <w:vAlign w:val="center"/>
          </w:tcPr>
          <w:p w14:paraId="698CDE8A"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- 6 years lifetime</w:t>
            </w:r>
          </w:p>
        </w:tc>
        <w:tc>
          <w:tcPr>
            <w:tcW w:w="1276" w:type="dxa"/>
            <w:tcBorders>
              <w:bottom w:val="nil"/>
            </w:tcBorders>
            <w:shd w:val="clear" w:color="auto" w:fill="D9D9D9" w:themeFill="background1" w:themeFillShade="D9"/>
            <w:vAlign w:val="center"/>
          </w:tcPr>
          <w:p w14:paraId="5C423B3C" w14:textId="77777777" w:rsidR="00FA3112" w:rsidRPr="003337C0" w:rsidRDefault="00FA3112" w:rsidP="003337C0">
            <w:pPr>
              <w:tabs>
                <w:tab w:val="left" w:pos="1095"/>
              </w:tabs>
              <w:spacing w:line="240" w:lineRule="auto"/>
              <w:jc w:val="left"/>
              <w:rPr>
                <w:sz w:val="18"/>
                <w:szCs w:val="18"/>
                <w:lang w:val="en-GB"/>
              </w:rPr>
            </w:pPr>
            <w:r w:rsidRPr="003337C0">
              <w:rPr>
                <w:sz w:val="18"/>
                <w:szCs w:val="18"/>
                <w:lang w:val="en-GB"/>
              </w:rPr>
              <w:t>-</w:t>
            </w:r>
          </w:p>
        </w:tc>
        <w:tc>
          <w:tcPr>
            <w:tcW w:w="1418" w:type="dxa"/>
            <w:gridSpan w:val="2"/>
            <w:tcBorders>
              <w:bottom w:val="nil"/>
            </w:tcBorders>
            <w:shd w:val="clear" w:color="auto" w:fill="D9D9D9" w:themeFill="background1" w:themeFillShade="D9"/>
            <w:vAlign w:val="center"/>
          </w:tcPr>
          <w:p w14:paraId="73E7443C" w14:textId="77777777" w:rsidR="00FA3112" w:rsidRPr="003337C0" w:rsidRDefault="00FA3112" w:rsidP="003337C0">
            <w:pPr>
              <w:spacing w:line="240" w:lineRule="auto"/>
              <w:jc w:val="left"/>
              <w:rPr>
                <w:sz w:val="18"/>
                <w:szCs w:val="18"/>
                <w:lang w:val="en-GB"/>
              </w:rPr>
            </w:pPr>
            <w:r w:rsidRPr="003337C0">
              <w:rPr>
                <w:sz w:val="18"/>
                <w:szCs w:val="18"/>
                <w:lang w:val="en-GB"/>
              </w:rPr>
              <w:t>-13392</w:t>
            </w:r>
            <w:r w:rsidRPr="003337C0">
              <w:rPr>
                <w:sz w:val="18"/>
                <w:szCs w:val="18"/>
                <w:vertAlign w:val="superscript"/>
                <w:lang w:val="en-GB"/>
              </w:rPr>
              <w:t>a</w:t>
            </w:r>
          </w:p>
        </w:tc>
        <w:tc>
          <w:tcPr>
            <w:tcW w:w="1701" w:type="dxa"/>
            <w:gridSpan w:val="2"/>
            <w:tcBorders>
              <w:bottom w:val="nil"/>
            </w:tcBorders>
            <w:shd w:val="clear" w:color="auto" w:fill="D9D9D9" w:themeFill="background1" w:themeFillShade="D9"/>
            <w:vAlign w:val="center"/>
          </w:tcPr>
          <w:p w14:paraId="0A31B107" w14:textId="77777777" w:rsidR="00FA3112" w:rsidRPr="003337C0" w:rsidRDefault="00FA3112" w:rsidP="003337C0">
            <w:pPr>
              <w:spacing w:line="240" w:lineRule="auto"/>
              <w:jc w:val="left"/>
              <w:rPr>
                <w:sz w:val="18"/>
                <w:szCs w:val="18"/>
                <w:lang w:val="en-GB"/>
              </w:rPr>
            </w:pPr>
            <w:r w:rsidRPr="003337C0">
              <w:rPr>
                <w:sz w:val="18"/>
                <w:szCs w:val="18"/>
                <w:lang w:val="en-GB"/>
              </w:rPr>
              <w:t>-7884 ± 3420</w:t>
            </w:r>
          </w:p>
        </w:tc>
        <w:tc>
          <w:tcPr>
            <w:tcW w:w="1559" w:type="dxa"/>
            <w:tcBorders>
              <w:bottom w:val="nil"/>
            </w:tcBorders>
            <w:shd w:val="clear" w:color="auto" w:fill="D9D9D9" w:themeFill="background1" w:themeFillShade="D9"/>
            <w:vAlign w:val="center"/>
          </w:tcPr>
          <w:p w14:paraId="2F611D5B" w14:textId="77777777" w:rsidR="00FA3112" w:rsidRPr="003337C0" w:rsidRDefault="00FA3112" w:rsidP="003337C0">
            <w:pPr>
              <w:spacing w:line="240" w:lineRule="auto"/>
              <w:jc w:val="left"/>
              <w:rPr>
                <w:sz w:val="18"/>
                <w:szCs w:val="18"/>
                <w:lang w:val="en-GB"/>
              </w:rPr>
            </w:pPr>
            <w:r w:rsidRPr="003337C0">
              <w:rPr>
                <w:sz w:val="18"/>
                <w:szCs w:val="18"/>
                <w:lang w:val="en-GB"/>
              </w:rPr>
              <w:t>-1947 ± 1317</w:t>
            </w:r>
          </w:p>
        </w:tc>
        <w:tc>
          <w:tcPr>
            <w:tcW w:w="1417" w:type="dxa"/>
            <w:tcBorders>
              <w:bottom w:val="nil"/>
            </w:tcBorders>
            <w:shd w:val="clear" w:color="auto" w:fill="D9D9D9" w:themeFill="background1" w:themeFillShade="D9"/>
            <w:vAlign w:val="center"/>
          </w:tcPr>
          <w:p w14:paraId="3BAFEE4C" w14:textId="77777777" w:rsidR="00FA3112" w:rsidRPr="003337C0" w:rsidRDefault="00FA3112" w:rsidP="003337C0">
            <w:pPr>
              <w:spacing w:line="240" w:lineRule="auto"/>
              <w:jc w:val="left"/>
              <w:rPr>
                <w:sz w:val="18"/>
                <w:szCs w:val="18"/>
                <w:lang w:val="en-GB"/>
              </w:rPr>
            </w:pPr>
            <w:r w:rsidRPr="003337C0">
              <w:rPr>
                <w:sz w:val="18"/>
                <w:szCs w:val="18"/>
                <w:lang w:val="en-GB"/>
              </w:rPr>
              <w:t>-1478 ± 784</w:t>
            </w:r>
          </w:p>
        </w:tc>
        <w:tc>
          <w:tcPr>
            <w:tcW w:w="1276" w:type="dxa"/>
            <w:tcBorders>
              <w:bottom w:val="nil"/>
            </w:tcBorders>
            <w:shd w:val="clear" w:color="auto" w:fill="D9D9D9" w:themeFill="background1" w:themeFillShade="D9"/>
            <w:vAlign w:val="center"/>
          </w:tcPr>
          <w:p w14:paraId="6755A2F6" w14:textId="77777777" w:rsidR="00FA3112" w:rsidRPr="003337C0" w:rsidRDefault="00FA3112" w:rsidP="003337C0">
            <w:pPr>
              <w:spacing w:line="240" w:lineRule="auto"/>
              <w:jc w:val="left"/>
              <w:rPr>
                <w:sz w:val="18"/>
                <w:szCs w:val="18"/>
                <w:lang w:val="en-GB"/>
              </w:rPr>
            </w:pPr>
            <w:r w:rsidRPr="003337C0">
              <w:rPr>
                <w:sz w:val="18"/>
                <w:szCs w:val="18"/>
                <w:lang w:val="en-GB"/>
              </w:rPr>
              <w:t>-1027 ± 521</w:t>
            </w:r>
          </w:p>
        </w:tc>
        <w:tc>
          <w:tcPr>
            <w:tcW w:w="1419" w:type="dxa"/>
            <w:tcBorders>
              <w:bottom w:val="nil"/>
            </w:tcBorders>
            <w:shd w:val="clear" w:color="auto" w:fill="D9D9D9" w:themeFill="background1" w:themeFillShade="D9"/>
            <w:vAlign w:val="center"/>
          </w:tcPr>
          <w:p w14:paraId="5B59B0E6" w14:textId="77777777" w:rsidR="00FA3112" w:rsidRPr="003337C0" w:rsidRDefault="00FA3112" w:rsidP="003337C0">
            <w:pPr>
              <w:spacing w:line="240" w:lineRule="auto"/>
              <w:jc w:val="left"/>
              <w:rPr>
                <w:sz w:val="18"/>
                <w:szCs w:val="18"/>
                <w:lang w:val="en-GB"/>
              </w:rPr>
            </w:pPr>
            <w:r w:rsidRPr="003337C0">
              <w:rPr>
                <w:sz w:val="18"/>
                <w:szCs w:val="18"/>
                <w:lang w:val="en-GB"/>
              </w:rPr>
              <w:t>-932 ± 525</w:t>
            </w:r>
          </w:p>
        </w:tc>
      </w:tr>
      <w:tr w:rsidR="00FA3112" w:rsidRPr="003337C0" w14:paraId="39853A2C" w14:textId="77777777" w:rsidTr="00AC363A">
        <w:trPr>
          <w:trHeight w:val="164"/>
        </w:trPr>
        <w:tc>
          <w:tcPr>
            <w:tcW w:w="3969" w:type="dxa"/>
            <w:tcBorders>
              <w:top w:val="nil"/>
            </w:tcBorders>
            <w:shd w:val="clear" w:color="auto" w:fill="D9D9D9" w:themeFill="background1" w:themeFillShade="D9"/>
            <w:vAlign w:val="center"/>
          </w:tcPr>
          <w:p w14:paraId="453FA83D"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- 11 years lifetime</w:t>
            </w:r>
          </w:p>
        </w:tc>
        <w:tc>
          <w:tcPr>
            <w:tcW w:w="1276" w:type="dxa"/>
            <w:tcBorders>
              <w:top w:val="nil"/>
            </w:tcBorders>
            <w:shd w:val="clear" w:color="auto" w:fill="D9D9D9" w:themeFill="background1" w:themeFillShade="D9"/>
            <w:vAlign w:val="center"/>
          </w:tcPr>
          <w:p w14:paraId="3625FF68"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top w:val="nil"/>
            </w:tcBorders>
            <w:shd w:val="clear" w:color="auto" w:fill="D9D9D9" w:themeFill="background1" w:themeFillShade="D9"/>
            <w:vAlign w:val="center"/>
          </w:tcPr>
          <w:p w14:paraId="6AC40B0D" w14:textId="77777777" w:rsidR="00FA3112" w:rsidRPr="003337C0" w:rsidRDefault="00FA3112" w:rsidP="003337C0">
            <w:pPr>
              <w:spacing w:line="240" w:lineRule="auto"/>
              <w:jc w:val="left"/>
              <w:rPr>
                <w:sz w:val="18"/>
                <w:szCs w:val="18"/>
                <w:lang w:val="en-GB"/>
              </w:rPr>
            </w:pPr>
            <w:r w:rsidRPr="003337C0">
              <w:rPr>
                <w:sz w:val="18"/>
                <w:szCs w:val="18"/>
                <w:lang w:val="en-GB"/>
              </w:rPr>
              <w:t>-45333</w:t>
            </w:r>
            <w:r w:rsidRPr="003337C0">
              <w:rPr>
                <w:sz w:val="18"/>
                <w:szCs w:val="18"/>
                <w:vertAlign w:val="superscript"/>
                <w:lang w:val="en-GB"/>
              </w:rPr>
              <w:t>a</w:t>
            </w:r>
          </w:p>
        </w:tc>
        <w:tc>
          <w:tcPr>
            <w:tcW w:w="1701" w:type="dxa"/>
            <w:gridSpan w:val="2"/>
            <w:tcBorders>
              <w:top w:val="nil"/>
            </w:tcBorders>
            <w:shd w:val="clear" w:color="auto" w:fill="D9D9D9" w:themeFill="background1" w:themeFillShade="D9"/>
            <w:vAlign w:val="center"/>
          </w:tcPr>
          <w:p w14:paraId="7DE8DC7E" w14:textId="77777777" w:rsidR="00FA3112" w:rsidRPr="003337C0" w:rsidRDefault="00FA3112" w:rsidP="003337C0">
            <w:pPr>
              <w:spacing w:line="240" w:lineRule="auto"/>
              <w:jc w:val="left"/>
              <w:rPr>
                <w:sz w:val="18"/>
                <w:szCs w:val="18"/>
                <w:lang w:val="en-GB"/>
              </w:rPr>
            </w:pPr>
            <w:r w:rsidRPr="003337C0">
              <w:rPr>
                <w:sz w:val="18"/>
                <w:szCs w:val="18"/>
                <w:lang w:val="en-GB"/>
              </w:rPr>
              <w:t>-25379 ± 12396</w:t>
            </w:r>
          </w:p>
        </w:tc>
        <w:tc>
          <w:tcPr>
            <w:tcW w:w="1559" w:type="dxa"/>
            <w:tcBorders>
              <w:top w:val="nil"/>
            </w:tcBorders>
            <w:shd w:val="clear" w:color="auto" w:fill="D9D9D9" w:themeFill="background1" w:themeFillShade="D9"/>
            <w:vAlign w:val="center"/>
          </w:tcPr>
          <w:p w14:paraId="695FC7C1" w14:textId="77777777" w:rsidR="00FA3112" w:rsidRPr="003337C0" w:rsidRDefault="00FA3112" w:rsidP="003337C0">
            <w:pPr>
              <w:spacing w:line="240" w:lineRule="auto"/>
              <w:jc w:val="left"/>
              <w:rPr>
                <w:sz w:val="18"/>
                <w:szCs w:val="18"/>
                <w:lang w:val="en-GB"/>
              </w:rPr>
            </w:pPr>
            <w:r w:rsidRPr="003337C0">
              <w:rPr>
                <w:sz w:val="18"/>
                <w:szCs w:val="18"/>
                <w:lang w:val="en-GB"/>
              </w:rPr>
              <w:t>-1626 ± 3123</w:t>
            </w:r>
          </w:p>
        </w:tc>
        <w:tc>
          <w:tcPr>
            <w:tcW w:w="1417" w:type="dxa"/>
            <w:tcBorders>
              <w:top w:val="nil"/>
            </w:tcBorders>
            <w:shd w:val="clear" w:color="auto" w:fill="D9D9D9" w:themeFill="background1" w:themeFillShade="D9"/>
            <w:vAlign w:val="center"/>
          </w:tcPr>
          <w:p w14:paraId="1A7F2C3B" w14:textId="77777777" w:rsidR="00FA3112" w:rsidRPr="003337C0" w:rsidRDefault="00FA3112" w:rsidP="003337C0">
            <w:pPr>
              <w:spacing w:line="240" w:lineRule="auto"/>
              <w:jc w:val="left"/>
              <w:rPr>
                <w:sz w:val="18"/>
                <w:szCs w:val="18"/>
                <w:lang w:val="en-GB"/>
              </w:rPr>
            </w:pPr>
            <w:r w:rsidRPr="003337C0">
              <w:rPr>
                <w:sz w:val="18"/>
                <w:szCs w:val="18"/>
                <w:lang w:val="en-GB"/>
              </w:rPr>
              <w:t>-1047 ± 377</w:t>
            </w:r>
          </w:p>
        </w:tc>
        <w:tc>
          <w:tcPr>
            <w:tcW w:w="1276" w:type="dxa"/>
            <w:tcBorders>
              <w:top w:val="nil"/>
            </w:tcBorders>
            <w:shd w:val="clear" w:color="auto" w:fill="D9D9D9" w:themeFill="background1" w:themeFillShade="D9"/>
            <w:vAlign w:val="center"/>
          </w:tcPr>
          <w:p w14:paraId="1BD0833E" w14:textId="77777777" w:rsidR="00FA3112" w:rsidRPr="003337C0" w:rsidRDefault="00FA3112" w:rsidP="003337C0">
            <w:pPr>
              <w:spacing w:line="240" w:lineRule="auto"/>
              <w:jc w:val="left"/>
              <w:rPr>
                <w:sz w:val="18"/>
                <w:szCs w:val="18"/>
                <w:lang w:val="en-GB"/>
              </w:rPr>
            </w:pPr>
            <w:r w:rsidRPr="003337C0">
              <w:rPr>
                <w:sz w:val="18"/>
                <w:szCs w:val="18"/>
                <w:lang w:val="en-GB"/>
              </w:rPr>
              <w:t>-730 ± 381</w:t>
            </w:r>
          </w:p>
        </w:tc>
        <w:tc>
          <w:tcPr>
            <w:tcW w:w="1419" w:type="dxa"/>
            <w:tcBorders>
              <w:top w:val="nil"/>
            </w:tcBorders>
            <w:shd w:val="clear" w:color="auto" w:fill="D9D9D9" w:themeFill="background1" w:themeFillShade="D9"/>
            <w:vAlign w:val="center"/>
          </w:tcPr>
          <w:p w14:paraId="294790A8" w14:textId="77777777" w:rsidR="00FA3112" w:rsidRPr="003337C0" w:rsidRDefault="00FA3112" w:rsidP="003337C0">
            <w:pPr>
              <w:spacing w:line="240" w:lineRule="auto"/>
              <w:jc w:val="left"/>
              <w:rPr>
                <w:sz w:val="18"/>
                <w:szCs w:val="18"/>
                <w:lang w:val="en-GB"/>
              </w:rPr>
            </w:pPr>
            <w:r w:rsidRPr="003337C0">
              <w:rPr>
                <w:sz w:val="18"/>
                <w:szCs w:val="18"/>
                <w:lang w:val="en-GB"/>
              </w:rPr>
              <w:t>-609 ± 475</w:t>
            </w:r>
          </w:p>
        </w:tc>
      </w:tr>
      <w:tr w:rsidR="00FA3112" w:rsidRPr="003337C0" w14:paraId="4047284C" w14:textId="77777777" w:rsidTr="00AC363A">
        <w:trPr>
          <w:trHeight w:val="164"/>
        </w:trPr>
        <w:tc>
          <w:tcPr>
            <w:tcW w:w="3969" w:type="dxa"/>
            <w:vMerge w:val="restart"/>
            <w:vAlign w:val="center"/>
          </w:tcPr>
          <w:p w14:paraId="78B9550F" w14:textId="77777777" w:rsidR="00075DA0" w:rsidRDefault="00FA3112" w:rsidP="003337C0">
            <w:pPr>
              <w:spacing w:line="240" w:lineRule="auto"/>
              <w:jc w:val="left"/>
              <w:rPr>
                <w:sz w:val="18"/>
                <w:szCs w:val="18"/>
                <w:lang w:val="en-GB"/>
              </w:rPr>
            </w:pPr>
            <w:r w:rsidRPr="003337C0">
              <w:rPr>
                <w:sz w:val="18"/>
                <w:szCs w:val="18"/>
                <w:lang w:val="en-GB"/>
              </w:rPr>
              <w:t>Emissions mitigation costs in [</w:t>
            </w:r>
            <w:r w:rsidR="00075DA0">
              <w:rPr>
                <w:sz w:val="18"/>
                <w:szCs w:val="18"/>
                <w:lang w:val="en-GB"/>
              </w:rPr>
              <w:t xml:space="preserve">1000 </w:t>
            </w:r>
            <w:r w:rsidRPr="003337C0">
              <w:rPr>
                <w:sz w:val="18"/>
                <w:szCs w:val="18"/>
                <w:lang w:val="en-GB"/>
              </w:rPr>
              <w:t>EUR</w:t>
            </w:r>
            <w:r w:rsidRPr="003337C0">
              <w:rPr>
                <w:sz w:val="18"/>
                <w:szCs w:val="18"/>
                <w:vertAlign w:val="subscript"/>
                <w:lang w:val="en-GB"/>
              </w:rPr>
              <w:t>2015</w:t>
            </w:r>
            <w:r w:rsidRPr="003337C0">
              <w:rPr>
                <w:sz w:val="18"/>
                <w:szCs w:val="18"/>
                <w:lang w:val="en-GB"/>
              </w:rPr>
              <w:t>/</w:t>
            </w:r>
          </w:p>
          <w:p w14:paraId="47158C37" w14:textId="7901291E" w:rsidR="00FA3112" w:rsidRPr="003337C0" w:rsidRDefault="00FA3112" w:rsidP="003337C0">
            <w:pPr>
              <w:spacing w:line="240" w:lineRule="auto"/>
              <w:jc w:val="left"/>
              <w:rPr>
                <w:sz w:val="18"/>
                <w:szCs w:val="18"/>
                <w:lang w:val="en-GB"/>
              </w:rPr>
            </w:pPr>
            <w:r w:rsidRPr="003337C0">
              <w:rPr>
                <w:sz w:val="18"/>
                <w:szCs w:val="18"/>
                <w:lang w:val="en-GB"/>
              </w:rPr>
              <w:t>t NO</w:t>
            </w:r>
            <w:r w:rsidRPr="003337C0">
              <w:rPr>
                <w:sz w:val="18"/>
                <w:szCs w:val="18"/>
                <w:vertAlign w:val="subscript"/>
                <w:lang w:val="en-GB"/>
              </w:rPr>
              <w:t>X</w:t>
            </w:r>
            <w:r w:rsidRPr="003337C0">
              <w:rPr>
                <w:sz w:val="18"/>
                <w:szCs w:val="18"/>
                <w:lang w:val="en-GB"/>
              </w:rPr>
              <w:t>]</w:t>
            </w:r>
          </w:p>
        </w:tc>
        <w:tc>
          <w:tcPr>
            <w:tcW w:w="10066" w:type="dxa"/>
            <w:gridSpan w:val="9"/>
            <w:vAlign w:val="center"/>
          </w:tcPr>
          <w:p w14:paraId="20B0F8D8" w14:textId="77777777" w:rsidR="00FA3112" w:rsidRPr="003337C0" w:rsidRDefault="00FA3112" w:rsidP="003337C0">
            <w:pPr>
              <w:spacing w:line="240" w:lineRule="auto"/>
              <w:jc w:val="center"/>
              <w:rPr>
                <w:sz w:val="18"/>
                <w:szCs w:val="18"/>
                <w:lang w:val="en-GB"/>
              </w:rPr>
            </w:pPr>
            <w:r w:rsidRPr="003337C0">
              <w:rPr>
                <w:sz w:val="18"/>
                <w:szCs w:val="18"/>
                <w:lang w:val="en-GB"/>
              </w:rPr>
              <w:t>NO</w:t>
            </w:r>
            <w:r w:rsidRPr="003337C0">
              <w:rPr>
                <w:sz w:val="18"/>
                <w:szCs w:val="18"/>
                <w:vertAlign w:val="subscript"/>
                <w:lang w:val="en-GB"/>
              </w:rPr>
              <w:t xml:space="preserve">X </w:t>
            </w:r>
            <w:r w:rsidRPr="003337C0">
              <w:rPr>
                <w:sz w:val="18"/>
                <w:szCs w:val="18"/>
                <w:lang w:val="en-GB"/>
              </w:rPr>
              <w:t>emissions</w:t>
            </w:r>
          </w:p>
        </w:tc>
      </w:tr>
      <w:tr w:rsidR="00FA3112" w:rsidRPr="007C5909" w14:paraId="523D38DD" w14:textId="77777777" w:rsidTr="00AC363A">
        <w:trPr>
          <w:trHeight w:val="164"/>
        </w:trPr>
        <w:tc>
          <w:tcPr>
            <w:tcW w:w="3969" w:type="dxa"/>
            <w:vMerge/>
            <w:tcBorders>
              <w:bottom w:val="single" w:sz="4" w:space="0" w:color="auto"/>
            </w:tcBorders>
            <w:vAlign w:val="center"/>
          </w:tcPr>
          <w:p w14:paraId="04E1BD6F" w14:textId="77777777" w:rsidR="00FA3112" w:rsidRPr="003337C0" w:rsidRDefault="00FA3112" w:rsidP="003337C0">
            <w:pPr>
              <w:spacing w:line="240" w:lineRule="auto"/>
              <w:jc w:val="left"/>
              <w:rPr>
                <w:sz w:val="18"/>
                <w:szCs w:val="18"/>
                <w:lang w:val="en-GB"/>
              </w:rPr>
            </w:pPr>
          </w:p>
        </w:tc>
        <w:tc>
          <w:tcPr>
            <w:tcW w:w="10066" w:type="dxa"/>
            <w:gridSpan w:val="9"/>
            <w:tcBorders>
              <w:bottom w:val="single" w:sz="4" w:space="0" w:color="auto"/>
            </w:tcBorders>
            <w:vAlign w:val="center"/>
          </w:tcPr>
          <w:p w14:paraId="632D0C49" w14:textId="77777777" w:rsidR="00FA3112" w:rsidRPr="003337C0" w:rsidRDefault="00FA3112" w:rsidP="003337C0">
            <w:pPr>
              <w:spacing w:line="240" w:lineRule="auto"/>
              <w:jc w:val="center"/>
              <w:rPr>
                <w:sz w:val="18"/>
                <w:szCs w:val="18"/>
                <w:lang w:val="en-GB"/>
              </w:rPr>
            </w:pPr>
            <w:r w:rsidRPr="003337C0">
              <w:rPr>
                <w:sz w:val="18"/>
                <w:szCs w:val="18"/>
                <w:lang w:val="en-GB"/>
              </w:rPr>
              <w:t>Scenario I: Real-world tailpipe emissions on the road</w:t>
            </w:r>
          </w:p>
        </w:tc>
      </w:tr>
      <w:tr w:rsidR="00FA3112" w:rsidRPr="003337C0" w14:paraId="004C3B18" w14:textId="77777777" w:rsidTr="004D4192">
        <w:trPr>
          <w:trHeight w:val="164"/>
        </w:trPr>
        <w:tc>
          <w:tcPr>
            <w:tcW w:w="3969" w:type="dxa"/>
            <w:tcBorders>
              <w:bottom w:val="nil"/>
            </w:tcBorders>
            <w:vAlign w:val="center"/>
          </w:tcPr>
          <w:p w14:paraId="11BB6927"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gasoline cars -</w:t>
            </w:r>
          </w:p>
          <w:p w14:paraId="5DBDC21A" w14:textId="77777777" w:rsidR="00FA3112" w:rsidRPr="003337C0" w:rsidRDefault="00FA3112" w:rsidP="003337C0">
            <w:pPr>
              <w:spacing w:line="240" w:lineRule="auto"/>
              <w:jc w:val="left"/>
              <w:rPr>
                <w:sz w:val="18"/>
                <w:szCs w:val="18"/>
                <w:lang w:val="en-GB"/>
              </w:rPr>
            </w:pPr>
            <w:r w:rsidRPr="003337C0">
              <w:rPr>
                <w:sz w:val="18"/>
                <w:szCs w:val="18"/>
                <w:lang w:val="en-GB"/>
              </w:rPr>
              <w:t>6 years lifetime</w:t>
            </w:r>
          </w:p>
        </w:tc>
        <w:tc>
          <w:tcPr>
            <w:tcW w:w="1418" w:type="dxa"/>
            <w:gridSpan w:val="2"/>
            <w:tcBorders>
              <w:bottom w:val="nil"/>
            </w:tcBorders>
            <w:vAlign w:val="center"/>
          </w:tcPr>
          <w:p w14:paraId="53CC3D7B" w14:textId="77777777" w:rsidR="00FA3112" w:rsidRPr="003337C0" w:rsidRDefault="00FA3112" w:rsidP="003337C0">
            <w:pPr>
              <w:spacing w:line="240" w:lineRule="auto"/>
              <w:jc w:val="left"/>
              <w:rPr>
                <w:sz w:val="18"/>
                <w:szCs w:val="18"/>
                <w:lang w:val="en-GB"/>
              </w:rPr>
            </w:pPr>
            <w:r w:rsidRPr="003337C0">
              <w:rPr>
                <w:sz w:val="18"/>
                <w:szCs w:val="18"/>
                <w:lang w:val="en-GB"/>
              </w:rPr>
              <w:t>5436 ± 1035</w:t>
            </w:r>
          </w:p>
        </w:tc>
        <w:tc>
          <w:tcPr>
            <w:tcW w:w="1417" w:type="dxa"/>
            <w:gridSpan w:val="2"/>
            <w:tcBorders>
              <w:bottom w:val="nil"/>
            </w:tcBorders>
            <w:vAlign w:val="center"/>
          </w:tcPr>
          <w:p w14:paraId="5D5F6FF3" w14:textId="77777777" w:rsidR="00FA3112" w:rsidRPr="003337C0" w:rsidRDefault="00FA3112" w:rsidP="003337C0">
            <w:pPr>
              <w:spacing w:line="240" w:lineRule="auto"/>
              <w:jc w:val="left"/>
              <w:rPr>
                <w:sz w:val="18"/>
                <w:szCs w:val="18"/>
                <w:lang w:val="en-GB"/>
              </w:rPr>
            </w:pPr>
            <w:r w:rsidRPr="003337C0">
              <w:rPr>
                <w:sz w:val="18"/>
                <w:szCs w:val="18"/>
                <w:lang w:val="en-GB"/>
              </w:rPr>
              <w:t>4779 ± 740</w:t>
            </w:r>
          </w:p>
        </w:tc>
        <w:tc>
          <w:tcPr>
            <w:tcW w:w="1560" w:type="dxa"/>
            <w:tcBorders>
              <w:bottom w:val="nil"/>
            </w:tcBorders>
            <w:vAlign w:val="center"/>
          </w:tcPr>
          <w:p w14:paraId="31569612" w14:textId="77777777" w:rsidR="00FA3112" w:rsidRPr="003337C0" w:rsidRDefault="00FA3112" w:rsidP="003337C0">
            <w:pPr>
              <w:spacing w:line="240" w:lineRule="auto"/>
              <w:jc w:val="left"/>
              <w:rPr>
                <w:sz w:val="18"/>
                <w:szCs w:val="18"/>
                <w:lang w:val="en-GB"/>
              </w:rPr>
            </w:pPr>
            <w:r w:rsidRPr="003337C0">
              <w:rPr>
                <w:sz w:val="18"/>
                <w:szCs w:val="18"/>
                <w:lang w:val="en-GB"/>
              </w:rPr>
              <w:t>3846 ± 709</w:t>
            </w:r>
          </w:p>
        </w:tc>
        <w:tc>
          <w:tcPr>
            <w:tcW w:w="1559" w:type="dxa"/>
            <w:tcBorders>
              <w:bottom w:val="nil"/>
            </w:tcBorders>
            <w:vAlign w:val="center"/>
          </w:tcPr>
          <w:p w14:paraId="61C7ED61" w14:textId="77777777" w:rsidR="00FA3112" w:rsidRPr="003337C0" w:rsidRDefault="00FA3112" w:rsidP="003337C0">
            <w:pPr>
              <w:spacing w:line="240" w:lineRule="auto"/>
              <w:jc w:val="left"/>
              <w:rPr>
                <w:sz w:val="18"/>
                <w:szCs w:val="18"/>
                <w:lang w:val="en-GB"/>
              </w:rPr>
            </w:pPr>
            <w:r w:rsidRPr="003337C0">
              <w:rPr>
                <w:sz w:val="18"/>
                <w:szCs w:val="18"/>
                <w:lang w:val="en-GB"/>
              </w:rPr>
              <w:t>3664 ± 1112</w:t>
            </w:r>
          </w:p>
        </w:tc>
        <w:tc>
          <w:tcPr>
            <w:tcW w:w="1417" w:type="dxa"/>
            <w:tcBorders>
              <w:bottom w:val="nil"/>
            </w:tcBorders>
            <w:vAlign w:val="center"/>
          </w:tcPr>
          <w:p w14:paraId="4DEA8EF5" w14:textId="77777777" w:rsidR="00FA3112" w:rsidRPr="003337C0" w:rsidRDefault="00FA3112" w:rsidP="003337C0">
            <w:pPr>
              <w:spacing w:line="240" w:lineRule="auto"/>
              <w:jc w:val="left"/>
              <w:rPr>
                <w:sz w:val="18"/>
                <w:szCs w:val="18"/>
                <w:lang w:val="en-GB"/>
              </w:rPr>
            </w:pPr>
            <w:r w:rsidRPr="003337C0">
              <w:rPr>
                <w:sz w:val="18"/>
                <w:szCs w:val="18"/>
                <w:lang w:val="en-GB"/>
              </w:rPr>
              <w:t>2360 ± 1216</w:t>
            </w:r>
          </w:p>
        </w:tc>
        <w:tc>
          <w:tcPr>
            <w:tcW w:w="1276" w:type="dxa"/>
            <w:tcBorders>
              <w:bottom w:val="nil"/>
            </w:tcBorders>
            <w:vAlign w:val="center"/>
          </w:tcPr>
          <w:p w14:paraId="3A7B3C59" w14:textId="77777777" w:rsidR="00FA3112" w:rsidRPr="003337C0" w:rsidRDefault="00FA3112" w:rsidP="003337C0">
            <w:pPr>
              <w:spacing w:line="240" w:lineRule="auto"/>
              <w:jc w:val="left"/>
              <w:rPr>
                <w:sz w:val="18"/>
                <w:szCs w:val="18"/>
                <w:lang w:val="en-GB"/>
              </w:rPr>
            </w:pPr>
            <w:r w:rsidRPr="003337C0">
              <w:rPr>
                <w:sz w:val="18"/>
                <w:szCs w:val="18"/>
                <w:lang w:val="en-GB"/>
              </w:rPr>
              <w:t>1670 ± 690</w:t>
            </w:r>
          </w:p>
        </w:tc>
        <w:tc>
          <w:tcPr>
            <w:tcW w:w="1419" w:type="dxa"/>
            <w:tcBorders>
              <w:bottom w:val="nil"/>
            </w:tcBorders>
            <w:vAlign w:val="center"/>
          </w:tcPr>
          <w:p w14:paraId="24C6F907" w14:textId="77777777" w:rsidR="00FA3112" w:rsidRPr="003337C0" w:rsidRDefault="00FA3112" w:rsidP="003337C0">
            <w:pPr>
              <w:spacing w:line="240" w:lineRule="auto"/>
              <w:jc w:val="left"/>
              <w:rPr>
                <w:sz w:val="18"/>
                <w:szCs w:val="18"/>
                <w:lang w:val="en-GB"/>
              </w:rPr>
            </w:pPr>
            <w:r w:rsidRPr="003337C0">
              <w:rPr>
                <w:sz w:val="18"/>
                <w:szCs w:val="18"/>
                <w:lang w:val="en-GB"/>
              </w:rPr>
              <w:t>1807 ± 766</w:t>
            </w:r>
          </w:p>
        </w:tc>
      </w:tr>
      <w:tr w:rsidR="00FA3112" w:rsidRPr="003337C0" w14:paraId="2BA7E5F3" w14:textId="77777777" w:rsidTr="004D4192">
        <w:trPr>
          <w:trHeight w:val="164"/>
        </w:trPr>
        <w:tc>
          <w:tcPr>
            <w:tcW w:w="3969" w:type="dxa"/>
            <w:tcBorders>
              <w:top w:val="nil"/>
              <w:bottom w:val="single" w:sz="4" w:space="0" w:color="auto"/>
            </w:tcBorders>
            <w:vAlign w:val="center"/>
          </w:tcPr>
          <w:p w14:paraId="0783A804" w14:textId="77777777" w:rsidR="00FA3112" w:rsidRPr="003337C0" w:rsidRDefault="00FA3112" w:rsidP="003337C0">
            <w:pPr>
              <w:spacing w:line="240" w:lineRule="auto"/>
              <w:rPr>
                <w:sz w:val="18"/>
                <w:szCs w:val="18"/>
                <w:lang w:val="en-GB"/>
              </w:rPr>
            </w:pPr>
            <w:r w:rsidRPr="003337C0">
              <w:rPr>
                <w:sz w:val="18"/>
                <w:szCs w:val="18"/>
                <w:lang w:val="en-GB"/>
              </w:rPr>
              <w:t xml:space="preserve">Electric cars versus conventional gasoline cars - </w:t>
            </w:r>
          </w:p>
          <w:p w14:paraId="60D15FF1" w14:textId="77777777" w:rsidR="00FA3112" w:rsidRPr="003337C0" w:rsidRDefault="00FA3112" w:rsidP="003337C0">
            <w:pPr>
              <w:spacing w:line="240" w:lineRule="auto"/>
              <w:jc w:val="left"/>
              <w:rPr>
                <w:sz w:val="18"/>
                <w:szCs w:val="18"/>
                <w:lang w:val="en-GB"/>
              </w:rPr>
            </w:pPr>
            <w:r w:rsidRPr="003337C0">
              <w:rPr>
                <w:sz w:val="18"/>
                <w:szCs w:val="18"/>
                <w:lang w:val="en-GB"/>
              </w:rPr>
              <w:t>11 years lifetime</w:t>
            </w:r>
          </w:p>
        </w:tc>
        <w:tc>
          <w:tcPr>
            <w:tcW w:w="1418" w:type="dxa"/>
            <w:gridSpan w:val="2"/>
            <w:tcBorders>
              <w:top w:val="nil"/>
              <w:bottom w:val="single" w:sz="4" w:space="0" w:color="auto"/>
            </w:tcBorders>
            <w:vAlign w:val="center"/>
          </w:tcPr>
          <w:p w14:paraId="5B5A9B7F" w14:textId="77777777" w:rsidR="00FA3112" w:rsidRPr="003337C0" w:rsidRDefault="00FA3112" w:rsidP="003337C0">
            <w:pPr>
              <w:spacing w:line="240" w:lineRule="auto"/>
              <w:jc w:val="left"/>
              <w:rPr>
                <w:sz w:val="18"/>
                <w:szCs w:val="18"/>
                <w:lang w:val="en-GB"/>
              </w:rPr>
            </w:pPr>
            <w:r w:rsidRPr="003337C0">
              <w:rPr>
                <w:sz w:val="18"/>
                <w:szCs w:val="18"/>
                <w:lang w:val="en-GB"/>
              </w:rPr>
              <w:t>2955 ± 515</w:t>
            </w:r>
          </w:p>
        </w:tc>
        <w:tc>
          <w:tcPr>
            <w:tcW w:w="1417" w:type="dxa"/>
            <w:gridSpan w:val="2"/>
            <w:tcBorders>
              <w:top w:val="nil"/>
              <w:bottom w:val="single" w:sz="4" w:space="0" w:color="auto"/>
            </w:tcBorders>
            <w:vAlign w:val="center"/>
          </w:tcPr>
          <w:p w14:paraId="3E0C4AD4" w14:textId="77777777" w:rsidR="00FA3112" w:rsidRPr="003337C0" w:rsidRDefault="00FA3112" w:rsidP="003337C0">
            <w:pPr>
              <w:spacing w:line="240" w:lineRule="auto"/>
              <w:jc w:val="left"/>
              <w:rPr>
                <w:sz w:val="18"/>
                <w:szCs w:val="18"/>
                <w:lang w:val="en-GB"/>
              </w:rPr>
            </w:pPr>
            <w:r w:rsidRPr="003337C0">
              <w:rPr>
                <w:sz w:val="18"/>
                <w:szCs w:val="18"/>
                <w:lang w:val="en-GB"/>
              </w:rPr>
              <w:t>2181 ± 378</w:t>
            </w:r>
          </w:p>
        </w:tc>
        <w:tc>
          <w:tcPr>
            <w:tcW w:w="1560" w:type="dxa"/>
            <w:tcBorders>
              <w:top w:val="nil"/>
              <w:bottom w:val="single" w:sz="4" w:space="0" w:color="auto"/>
            </w:tcBorders>
            <w:vAlign w:val="center"/>
          </w:tcPr>
          <w:p w14:paraId="789F6BDF" w14:textId="77777777" w:rsidR="00FA3112" w:rsidRPr="003337C0" w:rsidRDefault="00FA3112" w:rsidP="003337C0">
            <w:pPr>
              <w:spacing w:line="240" w:lineRule="auto"/>
              <w:jc w:val="left"/>
              <w:rPr>
                <w:sz w:val="18"/>
                <w:szCs w:val="18"/>
                <w:lang w:val="en-GB"/>
              </w:rPr>
            </w:pPr>
            <w:r w:rsidRPr="003337C0">
              <w:rPr>
                <w:sz w:val="18"/>
                <w:szCs w:val="18"/>
                <w:lang w:val="en-GB"/>
              </w:rPr>
              <w:t>2075 ± 406</w:t>
            </w:r>
          </w:p>
        </w:tc>
        <w:tc>
          <w:tcPr>
            <w:tcW w:w="1559" w:type="dxa"/>
            <w:tcBorders>
              <w:top w:val="nil"/>
              <w:bottom w:val="single" w:sz="4" w:space="0" w:color="auto"/>
            </w:tcBorders>
            <w:vAlign w:val="center"/>
          </w:tcPr>
          <w:p w14:paraId="16FA4772" w14:textId="77777777" w:rsidR="00FA3112" w:rsidRPr="003337C0" w:rsidRDefault="00FA3112" w:rsidP="003337C0">
            <w:pPr>
              <w:spacing w:line="240" w:lineRule="auto"/>
              <w:jc w:val="left"/>
              <w:rPr>
                <w:sz w:val="18"/>
                <w:szCs w:val="18"/>
                <w:lang w:val="en-GB"/>
              </w:rPr>
            </w:pPr>
            <w:r w:rsidRPr="003337C0">
              <w:rPr>
                <w:sz w:val="18"/>
                <w:szCs w:val="18"/>
                <w:lang w:val="en-GB"/>
              </w:rPr>
              <w:t>1911 ± 520</w:t>
            </w:r>
          </w:p>
        </w:tc>
        <w:tc>
          <w:tcPr>
            <w:tcW w:w="1417" w:type="dxa"/>
            <w:tcBorders>
              <w:top w:val="nil"/>
              <w:bottom w:val="single" w:sz="4" w:space="0" w:color="auto"/>
            </w:tcBorders>
            <w:vAlign w:val="center"/>
          </w:tcPr>
          <w:p w14:paraId="1A939671" w14:textId="77777777" w:rsidR="00FA3112" w:rsidRPr="003337C0" w:rsidRDefault="00FA3112" w:rsidP="003337C0">
            <w:pPr>
              <w:spacing w:line="240" w:lineRule="auto"/>
              <w:jc w:val="left"/>
              <w:rPr>
                <w:sz w:val="18"/>
                <w:szCs w:val="18"/>
                <w:lang w:val="en-GB"/>
              </w:rPr>
            </w:pPr>
            <w:r w:rsidRPr="003337C0">
              <w:rPr>
                <w:sz w:val="18"/>
                <w:szCs w:val="18"/>
                <w:lang w:val="en-GB"/>
              </w:rPr>
              <w:t>1080 ± 845</w:t>
            </w:r>
          </w:p>
        </w:tc>
        <w:tc>
          <w:tcPr>
            <w:tcW w:w="1276" w:type="dxa"/>
            <w:tcBorders>
              <w:top w:val="nil"/>
              <w:bottom w:val="single" w:sz="4" w:space="0" w:color="auto"/>
            </w:tcBorders>
            <w:vAlign w:val="center"/>
          </w:tcPr>
          <w:p w14:paraId="2AFF1F1B" w14:textId="77777777" w:rsidR="00FA3112" w:rsidRPr="003337C0" w:rsidRDefault="00FA3112" w:rsidP="003337C0">
            <w:pPr>
              <w:spacing w:line="240" w:lineRule="auto"/>
              <w:jc w:val="left"/>
              <w:rPr>
                <w:sz w:val="18"/>
                <w:szCs w:val="18"/>
                <w:lang w:val="en-GB"/>
              </w:rPr>
            </w:pPr>
            <w:r w:rsidRPr="003337C0">
              <w:rPr>
                <w:sz w:val="18"/>
                <w:szCs w:val="18"/>
                <w:lang w:val="en-GB"/>
              </w:rPr>
              <w:t>679 ± 588</w:t>
            </w:r>
          </w:p>
        </w:tc>
        <w:tc>
          <w:tcPr>
            <w:tcW w:w="1419" w:type="dxa"/>
            <w:tcBorders>
              <w:top w:val="nil"/>
              <w:bottom w:val="single" w:sz="4" w:space="0" w:color="auto"/>
            </w:tcBorders>
            <w:vAlign w:val="center"/>
          </w:tcPr>
          <w:p w14:paraId="18590F2D" w14:textId="77777777" w:rsidR="00FA3112" w:rsidRPr="003337C0" w:rsidRDefault="00FA3112" w:rsidP="003337C0">
            <w:pPr>
              <w:spacing w:line="240" w:lineRule="auto"/>
              <w:jc w:val="left"/>
              <w:rPr>
                <w:sz w:val="18"/>
                <w:szCs w:val="18"/>
                <w:lang w:val="en-GB"/>
              </w:rPr>
            </w:pPr>
            <w:r w:rsidRPr="003337C0">
              <w:rPr>
                <w:sz w:val="18"/>
                <w:szCs w:val="18"/>
                <w:lang w:val="en-GB"/>
              </w:rPr>
              <w:t>680 ± 497</w:t>
            </w:r>
          </w:p>
        </w:tc>
      </w:tr>
      <w:tr w:rsidR="00FA3112" w:rsidRPr="003337C0" w14:paraId="1D6C70F7" w14:textId="77777777" w:rsidTr="004D4192">
        <w:trPr>
          <w:trHeight w:val="164"/>
        </w:trPr>
        <w:tc>
          <w:tcPr>
            <w:tcW w:w="3969" w:type="dxa"/>
            <w:tcBorders>
              <w:bottom w:val="nil"/>
            </w:tcBorders>
            <w:vAlign w:val="center"/>
          </w:tcPr>
          <w:p w14:paraId="632D6262"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diesel cars -</w:t>
            </w:r>
          </w:p>
          <w:p w14:paraId="5F2431E6" w14:textId="77777777" w:rsidR="00FA3112" w:rsidRPr="003337C0" w:rsidRDefault="00FA3112" w:rsidP="003337C0">
            <w:pPr>
              <w:spacing w:line="240" w:lineRule="auto"/>
              <w:jc w:val="left"/>
              <w:rPr>
                <w:sz w:val="18"/>
                <w:szCs w:val="18"/>
                <w:lang w:val="en-GB"/>
              </w:rPr>
            </w:pPr>
            <w:r w:rsidRPr="003337C0">
              <w:rPr>
                <w:sz w:val="18"/>
                <w:szCs w:val="18"/>
                <w:lang w:val="en-GB"/>
              </w:rPr>
              <w:t>6 years lifetime</w:t>
            </w:r>
          </w:p>
        </w:tc>
        <w:tc>
          <w:tcPr>
            <w:tcW w:w="1418" w:type="dxa"/>
            <w:gridSpan w:val="2"/>
            <w:tcBorders>
              <w:bottom w:val="nil"/>
            </w:tcBorders>
            <w:vAlign w:val="center"/>
          </w:tcPr>
          <w:p w14:paraId="0A9B3EC4" w14:textId="77777777" w:rsidR="00FA3112" w:rsidRPr="003337C0" w:rsidRDefault="00FA3112" w:rsidP="003337C0">
            <w:pPr>
              <w:spacing w:line="240" w:lineRule="auto"/>
              <w:jc w:val="left"/>
              <w:rPr>
                <w:sz w:val="18"/>
                <w:szCs w:val="18"/>
                <w:lang w:val="en-GB"/>
              </w:rPr>
            </w:pPr>
            <w:r w:rsidRPr="003337C0">
              <w:rPr>
                <w:sz w:val="18"/>
                <w:szCs w:val="18"/>
                <w:lang w:val="en-GB"/>
              </w:rPr>
              <w:t>576 ± 105</w:t>
            </w:r>
          </w:p>
        </w:tc>
        <w:tc>
          <w:tcPr>
            <w:tcW w:w="1417" w:type="dxa"/>
            <w:gridSpan w:val="2"/>
            <w:tcBorders>
              <w:bottom w:val="nil"/>
            </w:tcBorders>
            <w:vAlign w:val="center"/>
          </w:tcPr>
          <w:p w14:paraId="00C3A280" w14:textId="77777777" w:rsidR="00FA3112" w:rsidRPr="003337C0" w:rsidRDefault="00FA3112" w:rsidP="003337C0">
            <w:pPr>
              <w:spacing w:line="240" w:lineRule="auto"/>
              <w:jc w:val="left"/>
              <w:rPr>
                <w:sz w:val="18"/>
                <w:szCs w:val="18"/>
                <w:lang w:val="en-GB"/>
              </w:rPr>
            </w:pPr>
            <w:r w:rsidRPr="003337C0">
              <w:rPr>
                <w:sz w:val="18"/>
                <w:szCs w:val="18"/>
                <w:lang w:val="en-GB"/>
              </w:rPr>
              <w:t>517 ± 76</w:t>
            </w:r>
          </w:p>
        </w:tc>
        <w:tc>
          <w:tcPr>
            <w:tcW w:w="1560" w:type="dxa"/>
            <w:tcBorders>
              <w:bottom w:val="nil"/>
            </w:tcBorders>
            <w:vAlign w:val="center"/>
          </w:tcPr>
          <w:p w14:paraId="14FA132C" w14:textId="77777777" w:rsidR="00FA3112" w:rsidRPr="003337C0" w:rsidRDefault="00FA3112" w:rsidP="003337C0">
            <w:pPr>
              <w:spacing w:line="240" w:lineRule="auto"/>
              <w:jc w:val="left"/>
              <w:rPr>
                <w:sz w:val="18"/>
                <w:szCs w:val="18"/>
                <w:lang w:val="en-GB"/>
              </w:rPr>
            </w:pPr>
            <w:r w:rsidRPr="003337C0">
              <w:rPr>
                <w:sz w:val="18"/>
                <w:szCs w:val="18"/>
                <w:lang w:val="en-GB"/>
              </w:rPr>
              <w:t>423 ± 66</w:t>
            </w:r>
          </w:p>
        </w:tc>
        <w:tc>
          <w:tcPr>
            <w:tcW w:w="1559" w:type="dxa"/>
            <w:tcBorders>
              <w:bottom w:val="nil"/>
            </w:tcBorders>
            <w:vAlign w:val="center"/>
          </w:tcPr>
          <w:p w14:paraId="153AD82D" w14:textId="77777777" w:rsidR="00FA3112" w:rsidRPr="003337C0" w:rsidRDefault="00FA3112" w:rsidP="003337C0">
            <w:pPr>
              <w:spacing w:line="240" w:lineRule="auto"/>
              <w:jc w:val="left"/>
              <w:rPr>
                <w:sz w:val="18"/>
                <w:szCs w:val="18"/>
                <w:lang w:val="en-GB"/>
              </w:rPr>
            </w:pPr>
            <w:r w:rsidRPr="003337C0">
              <w:rPr>
                <w:sz w:val="18"/>
                <w:szCs w:val="18"/>
                <w:lang w:val="en-GB"/>
              </w:rPr>
              <w:t>413 ± 112</w:t>
            </w:r>
          </w:p>
        </w:tc>
        <w:tc>
          <w:tcPr>
            <w:tcW w:w="1417" w:type="dxa"/>
            <w:tcBorders>
              <w:bottom w:val="nil"/>
            </w:tcBorders>
            <w:vAlign w:val="center"/>
          </w:tcPr>
          <w:p w14:paraId="0D840600" w14:textId="77777777" w:rsidR="00FA3112" w:rsidRPr="003337C0" w:rsidRDefault="00FA3112" w:rsidP="003337C0">
            <w:pPr>
              <w:spacing w:line="240" w:lineRule="auto"/>
              <w:jc w:val="left"/>
              <w:rPr>
                <w:sz w:val="18"/>
                <w:szCs w:val="18"/>
                <w:lang w:val="en-GB"/>
              </w:rPr>
            </w:pPr>
            <w:r w:rsidRPr="003337C0">
              <w:rPr>
                <w:sz w:val="18"/>
                <w:szCs w:val="18"/>
                <w:lang w:val="en-GB"/>
              </w:rPr>
              <w:t>284 ± 108</w:t>
            </w:r>
          </w:p>
        </w:tc>
        <w:tc>
          <w:tcPr>
            <w:tcW w:w="1276" w:type="dxa"/>
            <w:tcBorders>
              <w:bottom w:val="nil"/>
            </w:tcBorders>
            <w:vAlign w:val="center"/>
          </w:tcPr>
          <w:p w14:paraId="1CE6E4B3" w14:textId="77777777" w:rsidR="00FA3112" w:rsidRPr="003337C0" w:rsidRDefault="00FA3112" w:rsidP="003337C0">
            <w:pPr>
              <w:spacing w:line="240" w:lineRule="auto"/>
              <w:jc w:val="left"/>
              <w:rPr>
                <w:sz w:val="18"/>
                <w:szCs w:val="18"/>
                <w:lang w:val="en-GB"/>
              </w:rPr>
            </w:pPr>
            <w:r w:rsidRPr="003337C0">
              <w:rPr>
                <w:sz w:val="18"/>
                <w:szCs w:val="18"/>
                <w:lang w:val="en-GB"/>
              </w:rPr>
              <w:t>279 ± 64</w:t>
            </w:r>
          </w:p>
        </w:tc>
        <w:tc>
          <w:tcPr>
            <w:tcW w:w="1419" w:type="dxa"/>
            <w:tcBorders>
              <w:bottom w:val="nil"/>
            </w:tcBorders>
            <w:vAlign w:val="center"/>
          </w:tcPr>
          <w:p w14:paraId="60E0716E" w14:textId="77777777" w:rsidR="00FA3112" w:rsidRPr="003337C0" w:rsidRDefault="00FA3112" w:rsidP="003337C0">
            <w:pPr>
              <w:spacing w:line="240" w:lineRule="auto"/>
              <w:jc w:val="left"/>
              <w:rPr>
                <w:sz w:val="18"/>
                <w:szCs w:val="18"/>
                <w:lang w:val="en-GB"/>
              </w:rPr>
            </w:pPr>
            <w:r w:rsidRPr="003337C0">
              <w:rPr>
                <w:sz w:val="18"/>
                <w:szCs w:val="18"/>
                <w:lang w:val="en-GB"/>
              </w:rPr>
              <w:t>297 ± 103</w:t>
            </w:r>
          </w:p>
        </w:tc>
      </w:tr>
      <w:tr w:rsidR="00FA3112" w:rsidRPr="003337C0" w14:paraId="75811E14" w14:textId="77777777" w:rsidTr="004D4192">
        <w:trPr>
          <w:trHeight w:val="164"/>
        </w:trPr>
        <w:tc>
          <w:tcPr>
            <w:tcW w:w="3969" w:type="dxa"/>
            <w:tcBorders>
              <w:top w:val="nil"/>
              <w:bottom w:val="single" w:sz="4" w:space="0" w:color="auto"/>
            </w:tcBorders>
            <w:vAlign w:val="center"/>
          </w:tcPr>
          <w:p w14:paraId="64366BB3"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diesel cars -</w:t>
            </w:r>
          </w:p>
          <w:p w14:paraId="16CEA62B" w14:textId="77777777" w:rsidR="00FA3112" w:rsidRPr="003337C0" w:rsidRDefault="00FA3112" w:rsidP="003337C0">
            <w:pPr>
              <w:spacing w:line="240" w:lineRule="auto"/>
              <w:jc w:val="left"/>
              <w:rPr>
                <w:sz w:val="18"/>
                <w:szCs w:val="18"/>
                <w:lang w:val="en-GB"/>
              </w:rPr>
            </w:pPr>
            <w:r w:rsidRPr="003337C0">
              <w:rPr>
                <w:sz w:val="18"/>
                <w:szCs w:val="18"/>
                <w:lang w:val="en-GB"/>
              </w:rPr>
              <w:t>11 years lifetime</w:t>
            </w:r>
          </w:p>
        </w:tc>
        <w:tc>
          <w:tcPr>
            <w:tcW w:w="1418" w:type="dxa"/>
            <w:gridSpan w:val="2"/>
            <w:tcBorders>
              <w:top w:val="nil"/>
              <w:bottom w:val="single" w:sz="4" w:space="0" w:color="auto"/>
            </w:tcBorders>
            <w:vAlign w:val="center"/>
          </w:tcPr>
          <w:p w14:paraId="10C987EE" w14:textId="77777777" w:rsidR="00FA3112" w:rsidRPr="003337C0" w:rsidRDefault="00FA3112" w:rsidP="003337C0">
            <w:pPr>
              <w:spacing w:line="240" w:lineRule="auto"/>
              <w:jc w:val="left"/>
              <w:rPr>
                <w:sz w:val="18"/>
                <w:szCs w:val="18"/>
                <w:lang w:val="en-GB"/>
              </w:rPr>
            </w:pPr>
            <w:r w:rsidRPr="003337C0">
              <w:rPr>
                <w:sz w:val="18"/>
                <w:szCs w:val="18"/>
                <w:lang w:val="en-GB"/>
              </w:rPr>
              <w:t>332 ± 54</w:t>
            </w:r>
          </w:p>
        </w:tc>
        <w:tc>
          <w:tcPr>
            <w:tcW w:w="1417" w:type="dxa"/>
            <w:gridSpan w:val="2"/>
            <w:tcBorders>
              <w:top w:val="nil"/>
              <w:bottom w:val="single" w:sz="4" w:space="0" w:color="auto"/>
            </w:tcBorders>
            <w:vAlign w:val="center"/>
          </w:tcPr>
          <w:p w14:paraId="1E7073CE" w14:textId="77777777" w:rsidR="00FA3112" w:rsidRPr="003337C0" w:rsidRDefault="00FA3112" w:rsidP="003337C0">
            <w:pPr>
              <w:spacing w:line="240" w:lineRule="auto"/>
              <w:jc w:val="left"/>
              <w:rPr>
                <w:sz w:val="18"/>
                <w:szCs w:val="18"/>
                <w:lang w:val="en-GB"/>
              </w:rPr>
            </w:pPr>
            <w:r w:rsidRPr="003337C0">
              <w:rPr>
                <w:sz w:val="18"/>
                <w:szCs w:val="18"/>
                <w:lang w:val="en-GB"/>
              </w:rPr>
              <w:t>262 ± 41</w:t>
            </w:r>
          </w:p>
        </w:tc>
        <w:tc>
          <w:tcPr>
            <w:tcW w:w="1560" w:type="dxa"/>
            <w:tcBorders>
              <w:top w:val="nil"/>
              <w:bottom w:val="single" w:sz="4" w:space="0" w:color="auto"/>
            </w:tcBorders>
            <w:vAlign w:val="center"/>
          </w:tcPr>
          <w:p w14:paraId="5B175E1B" w14:textId="77777777" w:rsidR="00FA3112" w:rsidRPr="003337C0" w:rsidRDefault="00FA3112" w:rsidP="003337C0">
            <w:pPr>
              <w:spacing w:line="240" w:lineRule="auto"/>
              <w:jc w:val="left"/>
              <w:rPr>
                <w:sz w:val="18"/>
                <w:szCs w:val="18"/>
                <w:lang w:val="en-GB"/>
              </w:rPr>
            </w:pPr>
            <w:r w:rsidRPr="003337C0">
              <w:rPr>
                <w:sz w:val="18"/>
                <w:szCs w:val="18"/>
                <w:lang w:val="en-GB"/>
              </w:rPr>
              <w:t>249 ± 40</w:t>
            </w:r>
          </w:p>
        </w:tc>
        <w:tc>
          <w:tcPr>
            <w:tcW w:w="1559" w:type="dxa"/>
            <w:tcBorders>
              <w:top w:val="nil"/>
              <w:bottom w:val="single" w:sz="4" w:space="0" w:color="auto"/>
            </w:tcBorders>
            <w:vAlign w:val="center"/>
          </w:tcPr>
          <w:p w14:paraId="2A821B76" w14:textId="77777777" w:rsidR="00FA3112" w:rsidRPr="003337C0" w:rsidRDefault="00FA3112" w:rsidP="003337C0">
            <w:pPr>
              <w:spacing w:line="240" w:lineRule="auto"/>
              <w:jc w:val="left"/>
              <w:rPr>
                <w:sz w:val="18"/>
                <w:szCs w:val="18"/>
                <w:lang w:val="en-GB"/>
              </w:rPr>
            </w:pPr>
            <w:r w:rsidRPr="003337C0">
              <w:rPr>
                <w:sz w:val="18"/>
                <w:szCs w:val="18"/>
                <w:lang w:val="en-GB"/>
              </w:rPr>
              <w:t>241 ± 53</w:t>
            </w:r>
          </w:p>
        </w:tc>
        <w:tc>
          <w:tcPr>
            <w:tcW w:w="1417" w:type="dxa"/>
            <w:tcBorders>
              <w:top w:val="nil"/>
              <w:bottom w:val="single" w:sz="4" w:space="0" w:color="auto"/>
            </w:tcBorders>
            <w:vAlign w:val="center"/>
          </w:tcPr>
          <w:p w14:paraId="5C6435B0" w14:textId="77777777" w:rsidR="00FA3112" w:rsidRPr="003337C0" w:rsidRDefault="00FA3112" w:rsidP="003337C0">
            <w:pPr>
              <w:spacing w:line="240" w:lineRule="auto"/>
              <w:jc w:val="left"/>
              <w:rPr>
                <w:sz w:val="18"/>
                <w:szCs w:val="18"/>
                <w:lang w:val="en-GB"/>
              </w:rPr>
            </w:pPr>
            <w:r w:rsidRPr="003337C0">
              <w:rPr>
                <w:sz w:val="18"/>
                <w:szCs w:val="18"/>
                <w:lang w:val="en-GB"/>
              </w:rPr>
              <w:t>158 ± 76</w:t>
            </w:r>
          </w:p>
        </w:tc>
        <w:tc>
          <w:tcPr>
            <w:tcW w:w="1276" w:type="dxa"/>
            <w:tcBorders>
              <w:top w:val="nil"/>
              <w:bottom w:val="single" w:sz="4" w:space="0" w:color="auto"/>
            </w:tcBorders>
            <w:vAlign w:val="center"/>
          </w:tcPr>
          <w:p w14:paraId="0B6C8725" w14:textId="77777777" w:rsidR="00FA3112" w:rsidRPr="003337C0" w:rsidRDefault="00FA3112" w:rsidP="003337C0">
            <w:pPr>
              <w:spacing w:line="240" w:lineRule="auto"/>
              <w:jc w:val="left"/>
              <w:rPr>
                <w:sz w:val="18"/>
                <w:szCs w:val="18"/>
                <w:lang w:val="en-GB"/>
              </w:rPr>
            </w:pPr>
            <w:r w:rsidRPr="003337C0">
              <w:rPr>
                <w:sz w:val="18"/>
                <w:szCs w:val="18"/>
                <w:lang w:val="en-GB"/>
              </w:rPr>
              <w:t>150 ± 55</w:t>
            </w:r>
          </w:p>
        </w:tc>
        <w:tc>
          <w:tcPr>
            <w:tcW w:w="1419" w:type="dxa"/>
            <w:tcBorders>
              <w:top w:val="nil"/>
              <w:bottom w:val="single" w:sz="4" w:space="0" w:color="auto"/>
            </w:tcBorders>
            <w:vAlign w:val="center"/>
          </w:tcPr>
          <w:p w14:paraId="5D8940A0" w14:textId="77777777" w:rsidR="00FA3112" w:rsidRPr="003337C0" w:rsidRDefault="00FA3112" w:rsidP="003337C0">
            <w:pPr>
              <w:spacing w:line="240" w:lineRule="auto"/>
              <w:jc w:val="left"/>
              <w:rPr>
                <w:sz w:val="18"/>
                <w:szCs w:val="18"/>
                <w:lang w:val="en-GB"/>
              </w:rPr>
            </w:pPr>
            <w:r w:rsidRPr="003337C0">
              <w:rPr>
                <w:sz w:val="18"/>
                <w:szCs w:val="18"/>
                <w:lang w:val="en-GB"/>
              </w:rPr>
              <w:t>158 ± 50</w:t>
            </w:r>
          </w:p>
        </w:tc>
      </w:tr>
      <w:tr w:rsidR="00FA3112" w:rsidRPr="003337C0" w14:paraId="7F2CEF27" w14:textId="77777777" w:rsidTr="004D4192">
        <w:trPr>
          <w:trHeight w:val="164"/>
        </w:trPr>
        <w:tc>
          <w:tcPr>
            <w:tcW w:w="3969" w:type="dxa"/>
            <w:tcBorders>
              <w:bottom w:val="nil"/>
            </w:tcBorders>
            <w:shd w:val="clear" w:color="auto" w:fill="D9D9D9" w:themeFill="background1" w:themeFillShade="D9"/>
            <w:vAlign w:val="center"/>
          </w:tcPr>
          <w:p w14:paraId="756BCAF1"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versus conventional gasoline cars - 6 years lifetime</w:t>
            </w:r>
          </w:p>
        </w:tc>
        <w:tc>
          <w:tcPr>
            <w:tcW w:w="1418" w:type="dxa"/>
            <w:gridSpan w:val="2"/>
            <w:tcBorders>
              <w:bottom w:val="nil"/>
            </w:tcBorders>
            <w:shd w:val="clear" w:color="auto" w:fill="D9D9D9" w:themeFill="background1" w:themeFillShade="D9"/>
            <w:vAlign w:val="center"/>
          </w:tcPr>
          <w:p w14:paraId="43556C1F"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7" w:type="dxa"/>
            <w:gridSpan w:val="2"/>
            <w:tcBorders>
              <w:bottom w:val="nil"/>
            </w:tcBorders>
            <w:shd w:val="clear" w:color="auto" w:fill="D9D9D9" w:themeFill="background1" w:themeFillShade="D9"/>
            <w:vAlign w:val="center"/>
          </w:tcPr>
          <w:p w14:paraId="3F21C2BE" w14:textId="77777777" w:rsidR="00FA3112" w:rsidRPr="003337C0" w:rsidRDefault="00FA3112" w:rsidP="003337C0">
            <w:pPr>
              <w:spacing w:line="240" w:lineRule="auto"/>
              <w:jc w:val="left"/>
              <w:rPr>
                <w:sz w:val="18"/>
                <w:szCs w:val="18"/>
                <w:lang w:val="en-GB"/>
              </w:rPr>
            </w:pPr>
            <w:r w:rsidRPr="003337C0">
              <w:rPr>
                <w:sz w:val="18"/>
                <w:szCs w:val="18"/>
                <w:lang w:val="en-GB"/>
              </w:rPr>
              <w:t>4052</w:t>
            </w:r>
            <w:r w:rsidRPr="003337C0">
              <w:rPr>
                <w:sz w:val="18"/>
                <w:szCs w:val="18"/>
                <w:vertAlign w:val="superscript"/>
                <w:lang w:val="en-GB"/>
              </w:rPr>
              <w:t>a</w:t>
            </w:r>
          </w:p>
        </w:tc>
        <w:tc>
          <w:tcPr>
            <w:tcW w:w="1560" w:type="dxa"/>
            <w:tcBorders>
              <w:bottom w:val="nil"/>
            </w:tcBorders>
            <w:shd w:val="clear" w:color="auto" w:fill="D9D9D9" w:themeFill="background1" w:themeFillShade="D9"/>
            <w:vAlign w:val="center"/>
          </w:tcPr>
          <w:p w14:paraId="58E6D722" w14:textId="77777777" w:rsidR="00FA3112" w:rsidRPr="003337C0" w:rsidRDefault="00FA3112" w:rsidP="003337C0">
            <w:pPr>
              <w:spacing w:line="240" w:lineRule="auto"/>
              <w:jc w:val="left"/>
              <w:rPr>
                <w:sz w:val="18"/>
                <w:szCs w:val="18"/>
                <w:lang w:val="en-GB"/>
              </w:rPr>
            </w:pPr>
            <w:r w:rsidRPr="003337C0">
              <w:rPr>
                <w:sz w:val="18"/>
                <w:szCs w:val="18"/>
                <w:lang w:val="en-GB"/>
              </w:rPr>
              <w:t>4499 ± 23</w:t>
            </w:r>
          </w:p>
        </w:tc>
        <w:tc>
          <w:tcPr>
            <w:tcW w:w="1559" w:type="dxa"/>
            <w:tcBorders>
              <w:bottom w:val="nil"/>
            </w:tcBorders>
            <w:shd w:val="clear" w:color="auto" w:fill="D9D9D9" w:themeFill="background1" w:themeFillShade="D9"/>
            <w:vAlign w:val="center"/>
          </w:tcPr>
          <w:p w14:paraId="417B5490" w14:textId="77777777" w:rsidR="00FA3112" w:rsidRPr="003337C0" w:rsidRDefault="00FA3112" w:rsidP="003337C0">
            <w:pPr>
              <w:spacing w:line="240" w:lineRule="auto"/>
              <w:jc w:val="left"/>
              <w:rPr>
                <w:sz w:val="18"/>
                <w:szCs w:val="18"/>
                <w:lang w:val="en-GB"/>
              </w:rPr>
            </w:pPr>
            <w:r w:rsidRPr="003337C0">
              <w:rPr>
                <w:sz w:val="18"/>
                <w:szCs w:val="18"/>
                <w:lang w:val="en-GB"/>
              </w:rPr>
              <w:t>3635 ± 1405</w:t>
            </w:r>
          </w:p>
        </w:tc>
        <w:tc>
          <w:tcPr>
            <w:tcW w:w="1417" w:type="dxa"/>
            <w:tcBorders>
              <w:bottom w:val="nil"/>
            </w:tcBorders>
            <w:shd w:val="clear" w:color="auto" w:fill="D9D9D9" w:themeFill="background1" w:themeFillShade="D9"/>
            <w:vAlign w:val="center"/>
          </w:tcPr>
          <w:p w14:paraId="3367EC88" w14:textId="77777777" w:rsidR="00FA3112" w:rsidRPr="003337C0" w:rsidRDefault="00FA3112" w:rsidP="003337C0">
            <w:pPr>
              <w:spacing w:line="240" w:lineRule="auto"/>
              <w:jc w:val="left"/>
              <w:rPr>
                <w:sz w:val="18"/>
                <w:szCs w:val="18"/>
                <w:lang w:val="en-GB"/>
              </w:rPr>
            </w:pPr>
            <w:r w:rsidRPr="003337C0">
              <w:rPr>
                <w:sz w:val="18"/>
                <w:szCs w:val="18"/>
                <w:lang w:val="en-GB"/>
              </w:rPr>
              <w:t>1637 ± 1652</w:t>
            </w:r>
          </w:p>
        </w:tc>
        <w:tc>
          <w:tcPr>
            <w:tcW w:w="1276" w:type="dxa"/>
            <w:tcBorders>
              <w:bottom w:val="nil"/>
            </w:tcBorders>
            <w:shd w:val="clear" w:color="auto" w:fill="D9D9D9" w:themeFill="background1" w:themeFillShade="D9"/>
            <w:vAlign w:val="center"/>
          </w:tcPr>
          <w:p w14:paraId="34E9FD8A" w14:textId="77777777" w:rsidR="00FA3112" w:rsidRPr="003337C0" w:rsidRDefault="00FA3112" w:rsidP="003337C0">
            <w:pPr>
              <w:spacing w:line="240" w:lineRule="auto"/>
              <w:jc w:val="left"/>
              <w:rPr>
                <w:sz w:val="18"/>
                <w:szCs w:val="18"/>
                <w:lang w:val="en-GB"/>
              </w:rPr>
            </w:pPr>
            <w:r w:rsidRPr="003337C0">
              <w:rPr>
                <w:sz w:val="18"/>
                <w:szCs w:val="18"/>
                <w:lang w:val="en-GB"/>
              </w:rPr>
              <w:t>1087 ± 1809</w:t>
            </w:r>
          </w:p>
        </w:tc>
        <w:tc>
          <w:tcPr>
            <w:tcW w:w="1419" w:type="dxa"/>
            <w:tcBorders>
              <w:bottom w:val="nil"/>
            </w:tcBorders>
            <w:shd w:val="clear" w:color="auto" w:fill="D9D9D9" w:themeFill="background1" w:themeFillShade="D9"/>
            <w:vAlign w:val="center"/>
          </w:tcPr>
          <w:p w14:paraId="0FB072B3" w14:textId="77777777" w:rsidR="00FA3112" w:rsidRPr="003337C0" w:rsidRDefault="00FA3112" w:rsidP="003337C0">
            <w:pPr>
              <w:spacing w:line="240" w:lineRule="auto"/>
              <w:jc w:val="left"/>
              <w:rPr>
                <w:sz w:val="18"/>
                <w:szCs w:val="18"/>
                <w:lang w:val="en-GB"/>
              </w:rPr>
            </w:pPr>
            <w:r w:rsidRPr="003337C0">
              <w:rPr>
                <w:sz w:val="18"/>
                <w:szCs w:val="18"/>
                <w:lang w:val="en-GB"/>
              </w:rPr>
              <w:t>1083 ± 1629</w:t>
            </w:r>
          </w:p>
        </w:tc>
      </w:tr>
      <w:tr w:rsidR="00FA3112" w:rsidRPr="003337C0" w14:paraId="5E140B76" w14:textId="77777777" w:rsidTr="004D4192">
        <w:trPr>
          <w:trHeight w:val="164"/>
        </w:trPr>
        <w:tc>
          <w:tcPr>
            <w:tcW w:w="3969" w:type="dxa"/>
            <w:tcBorders>
              <w:top w:val="nil"/>
              <w:bottom w:val="single" w:sz="4" w:space="0" w:color="auto"/>
            </w:tcBorders>
            <w:shd w:val="clear" w:color="auto" w:fill="D9D9D9" w:themeFill="background1" w:themeFillShade="D9"/>
            <w:vAlign w:val="center"/>
          </w:tcPr>
          <w:p w14:paraId="79DF98DC"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versus conventional gasoline cars - 11 years lifetime</w:t>
            </w:r>
          </w:p>
        </w:tc>
        <w:tc>
          <w:tcPr>
            <w:tcW w:w="1418" w:type="dxa"/>
            <w:gridSpan w:val="2"/>
            <w:tcBorders>
              <w:top w:val="nil"/>
              <w:bottom w:val="single" w:sz="4" w:space="0" w:color="auto"/>
            </w:tcBorders>
            <w:shd w:val="clear" w:color="auto" w:fill="D9D9D9" w:themeFill="background1" w:themeFillShade="D9"/>
            <w:vAlign w:val="center"/>
          </w:tcPr>
          <w:p w14:paraId="11F82D21"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7" w:type="dxa"/>
            <w:gridSpan w:val="2"/>
            <w:tcBorders>
              <w:top w:val="nil"/>
              <w:bottom w:val="single" w:sz="4" w:space="0" w:color="auto"/>
            </w:tcBorders>
            <w:shd w:val="clear" w:color="auto" w:fill="D9D9D9" w:themeFill="background1" w:themeFillShade="D9"/>
            <w:vAlign w:val="center"/>
          </w:tcPr>
          <w:p w14:paraId="78E8128B" w14:textId="77777777" w:rsidR="00FA3112" w:rsidRPr="003337C0" w:rsidRDefault="00FA3112" w:rsidP="003337C0">
            <w:pPr>
              <w:spacing w:line="240" w:lineRule="auto"/>
              <w:jc w:val="left"/>
              <w:rPr>
                <w:sz w:val="18"/>
                <w:szCs w:val="18"/>
                <w:lang w:val="en-GB"/>
              </w:rPr>
            </w:pPr>
            <w:r w:rsidRPr="003337C0">
              <w:rPr>
                <w:sz w:val="18"/>
                <w:szCs w:val="18"/>
                <w:lang w:val="en-GB"/>
              </w:rPr>
              <w:t>1764</w:t>
            </w:r>
            <w:r w:rsidRPr="003337C0">
              <w:rPr>
                <w:sz w:val="18"/>
                <w:szCs w:val="18"/>
                <w:vertAlign w:val="superscript"/>
                <w:lang w:val="en-GB"/>
              </w:rPr>
              <w:t>a</w:t>
            </w:r>
          </w:p>
        </w:tc>
        <w:tc>
          <w:tcPr>
            <w:tcW w:w="1560" w:type="dxa"/>
            <w:tcBorders>
              <w:top w:val="nil"/>
              <w:bottom w:val="single" w:sz="4" w:space="0" w:color="auto"/>
            </w:tcBorders>
            <w:shd w:val="clear" w:color="auto" w:fill="D9D9D9" w:themeFill="background1" w:themeFillShade="D9"/>
            <w:vAlign w:val="center"/>
          </w:tcPr>
          <w:p w14:paraId="7A1C4A3D" w14:textId="77777777" w:rsidR="00FA3112" w:rsidRPr="003337C0" w:rsidRDefault="00FA3112" w:rsidP="003337C0">
            <w:pPr>
              <w:spacing w:line="240" w:lineRule="auto"/>
              <w:jc w:val="left"/>
              <w:rPr>
                <w:sz w:val="18"/>
                <w:szCs w:val="18"/>
                <w:lang w:val="en-GB"/>
              </w:rPr>
            </w:pPr>
            <w:r w:rsidRPr="003337C0">
              <w:rPr>
                <w:sz w:val="18"/>
                <w:szCs w:val="18"/>
                <w:lang w:val="en-GB"/>
              </w:rPr>
              <w:t>2192 ± 74</w:t>
            </w:r>
          </w:p>
        </w:tc>
        <w:tc>
          <w:tcPr>
            <w:tcW w:w="1559" w:type="dxa"/>
            <w:tcBorders>
              <w:top w:val="nil"/>
              <w:bottom w:val="single" w:sz="4" w:space="0" w:color="auto"/>
            </w:tcBorders>
            <w:shd w:val="clear" w:color="auto" w:fill="D9D9D9" w:themeFill="background1" w:themeFillShade="D9"/>
            <w:vAlign w:val="center"/>
          </w:tcPr>
          <w:p w14:paraId="2A590E02" w14:textId="77777777" w:rsidR="00FA3112" w:rsidRPr="003337C0" w:rsidRDefault="00FA3112" w:rsidP="003337C0">
            <w:pPr>
              <w:spacing w:line="240" w:lineRule="auto"/>
              <w:jc w:val="left"/>
              <w:rPr>
                <w:sz w:val="18"/>
                <w:szCs w:val="18"/>
                <w:lang w:val="en-GB"/>
              </w:rPr>
            </w:pPr>
            <w:r w:rsidRPr="003337C0">
              <w:rPr>
                <w:sz w:val="18"/>
                <w:szCs w:val="18"/>
                <w:lang w:val="en-GB"/>
              </w:rPr>
              <w:t>1699 ± 999</w:t>
            </w:r>
          </w:p>
        </w:tc>
        <w:tc>
          <w:tcPr>
            <w:tcW w:w="1417" w:type="dxa"/>
            <w:tcBorders>
              <w:top w:val="nil"/>
              <w:bottom w:val="single" w:sz="4" w:space="0" w:color="auto"/>
            </w:tcBorders>
            <w:shd w:val="clear" w:color="auto" w:fill="D9D9D9" w:themeFill="background1" w:themeFillShade="D9"/>
            <w:vAlign w:val="center"/>
          </w:tcPr>
          <w:p w14:paraId="357B2257" w14:textId="77777777" w:rsidR="00FA3112" w:rsidRPr="003337C0" w:rsidRDefault="00FA3112" w:rsidP="003337C0">
            <w:pPr>
              <w:spacing w:line="240" w:lineRule="auto"/>
              <w:jc w:val="left"/>
              <w:rPr>
                <w:sz w:val="18"/>
                <w:szCs w:val="18"/>
                <w:lang w:val="en-GB"/>
              </w:rPr>
            </w:pPr>
            <w:r w:rsidRPr="003337C0">
              <w:rPr>
                <w:sz w:val="18"/>
                <w:szCs w:val="18"/>
                <w:lang w:val="en-GB"/>
              </w:rPr>
              <w:t>635 ± 1071</w:t>
            </w:r>
          </w:p>
        </w:tc>
        <w:tc>
          <w:tcPr>
            <w:tcW w:w="1276" w:type="dxa"/>
            <w:tcBorders>
              <w:top w:val="nil"/>
              <w:bottom w:val="single" w:sz="4" w:space="0" w:color="auto"/>
            </w:tcBorders>
            <w:shd w:val="clear" w:color="auto" w:fill="D9D9D9" w:themeFill="background1" w:themeFillShade="D9"/>
            <w:vAlign w:val="center"/>
          </w:tcPr>
          <w:p w14:paraId="4FE1459C" w14:textId="77777777" w:rsidR="00FA3112" w:rsidRPr="003337C0" w:rsidRDefault="00FA3112" w:rsidP="003337C0">
            <w:pPr>
              <w:spacing w:line="240" w:lineRule="auto"/>
              <w:jc w:val="left"/>
              <w:rPr>
                <w:sz w:val="18"/>
                <w:szCs w:val="18"/>
                <w:lang w:val="en-GB"/>
              </w:rPr>
            </w:pPr>
            <w:r w:rsidRPr="003337C0">
              <w:rPr>
                <w:sz w:val="18"/>
                <w:szCs w:val="18"/>
                <w:lang w:val="en-GB"/>
              </w:rPr>
              <w:t>317 ± 1134</w:t>
            </w:r>
          </w:p>
        </w:tc>
        <w:tc>
          <w:tcPr>
            <w:tcW w:w="1419" w:type="dxa"/>
            <w:tcBorders>
              <w:top w:val="nil"/>
              <w:bottom w:val="single" w:sz="4" w:space="0" w:color="auto"/>
            </w:tcBorders>
            <w:shd w:val="clear" w:color="auto" w:fill="D9D9D9" w:themeFill="background1" w:themeFillShade="D9"/>
            <w:vAlign w:val="center"/>
          </w:tcPr>
          <w:p w14:paraId="103861FE" w14:textId="77777777" w:rsidR="00FA3112" w:rsidRPr="003337C0" w:rsidRDefault="00FA3112" w:rsidP="003337C0">
            <w:pPr>
              <w:spacing w:line="240" w:lineRule="auto"/>
              <w:jc w:val="left"/>
              <w:rPr>
                <w:sz w:val="18"/>
                <w:szCs w:val="18"/>
                <w:lang w:val="en-GB"/>
              </w:rPr>
            </w:pPr>
            <w:r w:rsidRPr="003337C0">
              <w:rPr>
                <w:sz w:val="18"/>
                <w:szCs w:val="18"/>
                <w:lang w:val="en-GB"/>
              </w:rPr>
              <w:t>309 ± 1052</w:t>
            </w:r>
          </w:p>
        </w:tc>
      </w:tr>
      <w:tr w:rsidR="00FA3112" w:rsidRPr="003337C0" w14:paraId="39A55B79" w14:textId="77777777" w:rsidTr="004D4192">
        <w:trPr>
          <w:trHeight w:val="164"/>
        </w:trPr>
        <w:tc>
          <w:tcPr>
            <w:tcW w:w="3969" w:type="dxa"/>
            <w:tcBorders>
              <w:bottom w:val="nil"/>
            </w:tcBorders>
            <w:shd w:val="clear" w:color="auto" w:fill="D9D9D9" w:themeFill="background1" w:themeFillShade="D9"/>
            <w:vAlign w:val="center"/>
          </w:tcPr>
          <w:p w14:paraId="60AC09FD" w14:textId="06403AFE" w:rsidR="00FA3112" w:rsidRPr="003337C0" w:rsidRDefault="00FA3112" w:rsidP="003337C0">
            <w:pPr>
              <w:spacing w:line="240" w:lineRule="auto"/>
              <w:rPr>
                <w:sz w:val="18"/>
                <w:szCs w:val="18"/>
                <w:lang w:val="en-GB"/>
              </w:rPr>
            </w:pPr>
            <w:r w:rsidRPr="003337C0">
              <w:rPr>
                <w:sz w:val="18"/>
                <w:szCs w:val="18"/>
                <w:lang w:val="en-GB"/>
              </w:rPr>
              <w:lastRenderedPageBreak/>
              <w:t>Plug-in hybrid cars versus conventional diesel cars - 6 years lifetime</w:t>
            </w:r>
          </w:p>
        </w:tc>
        <w:tc>
          <w:tcPr>
            <w:tcW w:w="1418" w:type="dxa"/>
            <w:gridSpan w:val="2"/>
            <w:tcBorders>
              <w:bottom w:val="nil"/>
            </w:tcBorders>
            <w:shd w:val="clear" w:color="auto" w:fill="D9D9D9" w:themeFill="background1" w:themeFillShade="D9"/>
            <w:vAlign w:val="center"/>
          </w:tcPr>
          <w:p w14:paraId="43080C59"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7" w:type="dxa"/>
            <w:gridSpan w:val="2"/>
            <w:tcBorders>
              <w:bottom w:val="nil"/>
            </w:tcBorders>
            <w:shd w:val="clear" w:color="auto" w:fill="D9D9D9" w:themeFill="background1" w:themeFillShade="D9"/>
            <w:vAlign w:val="center"/>
          </w:tcPr>
          <w:p w14:paraId="26CE7937" w14:textId="77777777" w:rsidR="00FA3112" w:rsidRPr="003337C0" w:rsidRDefault="00FA3112" w:rsidP="003337C0">
            <w:pPr>
              <w:spacing w:line="240" w:lineRule="auto"/>
              <w:jc w:val="left"/>
              <w:rPr>
                <w:sz w:val="18"/>
                <w:szCs w:val="18"/>
                <w:lang w:val="en-GB"/>
              </w:rPr>
            </w:pPr>
            <w:r w:rsidRPr="003337C0">
              <w:rPr>
                <w:sz w:val="18"/>
                <w:szCs w:val="18"/>
                <w:lang w:val="en-GB"/>
              </w:rPr>
              <w:t>1689</w:t>
            </w:r>
            <w:r w:rsidRPr="003337C0">
              <w:rPr>
                <w:sz w:val="18"/>
                <w:szCs w:val="18"/>
                <w:vertAlign w:val="superscript"/>
                <w:lang w:val="en-GB"/>
              </w:rPr>
              <w:t>a</w:t>
            </w:r>
          </w:p>
        </w:tc>
        <w:tc>
          <w:tcPr>
            <w:tcW w:w="1560" w:type="dxa"/>
            <w:tcBorders>
              <w:bottom w:val="nil"/>
            </w:tcBorders>
            <w:shd w:val="clear" w:color="auto" w:fill="D9D9D9" w:themeFill="background1" w:themeFillShade="D9"/>
            <w:vAlign w:val="center"/>
          </w:tcPr>
          <w:p w14:paraId="40BA7115" w14:textId="77777777" w:rsidR="00FA3112" w:rsidRPr="003337C0" w:rsidRDefault="00FA3112" w:rsidP="003337C0">
            <w:pPr>
              <w:spacing w:line="240" w:lineRule="auto"/>
              <w:jc w:val="left"/>
              <w:rPr>
                <w:sz w:val="18"/>
                <w:szCs w:val="18"/>
                <w:lang w:val="en-GB"/>
              </w:rPr>
            </w:pPr>
            <w:r w:rsidRPr="003337C0">
              <w:rPr>
                <w:sz w:val="18"/>
                <w:szCs w:val="18"/>
                <w:lang w:val="en-GB"/>
              </w:rPr>
              <w:t>1855 ± 14</w:t>
            </w:r>
          </w:p>
        </w:tc>
        <w:tc>
          <w:tcPr>
            <w:tcW w:w="1559" w:type="dxa"/>
            <w:tcBorders>
              <w:bottom w:val="nil"/>
            </w:tcBorders>
            <w:shd w:val="clear" w:color="auto" w:fill="D9D9D9" w:themeFill="background1" w:themeFillShade="D9"/>
            <w:vAlign w:val="center"/>
          </w:tcPr>
          <w:p w14:paraId="4B911529" w14:textId="77777777" w:rsidR="00FA3112" w:rsidRPr="003337C0" w:rsidRDefault="00FA3112" w:rsidP="003337C0">
            <w:pPr>
              <w:spacing w:line="240" w:lineRule="auto"/>
              <w:jc w:val="left"/>
              <w:rPr>
                <w:sz w:val="18"/>
                <w:szCs w:val="18"/>
                <w:lang w:val="en-GB"/>
              </w:rPr>
            </w:pPr>
            <w:r w:rsidRPr="003337C0">
              <w:rPr>
                <w:sz w:val="18"/>
                <w:szCs w:val="18"/>
                <w:lang w:val="en-GB"/>
              </w:rPr>
              <w:t>1517 ± 548</w:t>
            </w:r>
          </w:p>
        </w:tc>
        <w:tc>
          <w:tcPr>
            <w:tcW w:w="1417" w:type="dxa"/>
            <w:tcBorders>
              <w:bottom w:val="nil"/>
            </w:tcBorders>
            <w:shd w:val="clear" w:color="auto" w:fill="D9D9D9" w:themeFill="background1" w:themeFillShade="D9"/>
            <w:vAlign w:val="center"/>
          </w:tcPr>
          <w:p w14:paraId="17E59A44" w14:textId="77777777" w:rsidR="00FA3112" w:rsidRPr="003337C0" w:rsidRDefault="00FA3112" w:rsidP="003337C0">
            <w:pPr>
              <w:spacing w:line="240" w:lineRule="auto"/>
              <w:jc w:val="left"/>
              <w:rPr>
                <w:sz w:val="18"/>
                <w:szCs w:val="18"/>
                <w:lang w:val="en-GB"/>
              </w:rPr>
            </w:pPr>
            <w:r w:rsidRPr="003337C0">
              <w:rPr>
                <w:sz w:val="18"/>
                <w:szCs w:val="18"/>
                <w:lang w:val="en-GB"/>
              </w:rPr>
              <w:t>735 ± 625</w:t>
            </w:r>
          </w:p>
        </w:tc>
        <w:tc>
          <w:tcPr>
            <w:tcW w:w="1276" w:type="dxa"/>
            <w:tcBorders>
              <w:bottom w:val="nil"/>
            </w:tcBorders>
            <w:shd w:val="clear" w:color="auto" w:fill="D9D9D9" w:themeFill="background1" w:themeFillShade="D9"/>
            <w:vAlign w:val="center"/>
          </w:tcPr>
          <w:p w14:paraId="5E5BEA68" w14:textId="77777777" w:rsidR="00FA3112" w:rsidRPr="003337C0" w:rsidRDefault="00FA3112" w:rsidP="003337C0">
            <w:pPr>
              <w:spacing w:line="240" w:lineRule="auto"/>
              <w:jc w:val="left"/>
              <w:rPr>
                <w:sz w:val="18"/>
                <w:szCs w:val="18"/>
                <w:lang w:val="en-GB"/>
              </w:rPr>
            </w:pPr>
            <w:r w:rsidRPr="003337C0">
              <w:rPr>
                <w:sz w:val="18"/>
                <w:szCs w:val="18"/>
                <w:lang w:val="en-GB"/>
              </w:rPr>
              <w:t>6274 ± 8325</w:t>
            </w:r>
          </w:p>
        </w:tc>
        <w:tc>
          <w:tcPr>
            <w:tcW w:w="1419" w:type="dxa"/>
            <w:tcBorders>
              <w:bottom w:val="nil"/>
            </w:tcBorders>
            <w:shd w:val="clear" w:color="auto" w:fill="D9D9D9" w:themeFill="background1" w:themeFillShade="D9"/>
            <w:vAlign w:val="center"/>
          </w:tcPr>
          <w:p w14:paraId="073C9178" w14:textId="77777777" w:rsidR="00FA3112" w:rsidRPr="003337C0" w:rsidRDefault="00FA3112" w:rsidP="003337C0">
            <w:pPr>
              <w:spacing w:line="240" w:lineRule="auto"/>
              <w:jc w:val="left"/>
              <w:rPr>
                <w:sz w:val="18"/>
                <w:szCs w:val="18"/>
                <w:lang w:val="en-GB"/>
              </w:rPr>
            </w:pPr>
            <w:r w:rsidRPr="003337C0">
              <w:rPr>
                <w:sz w:val="18"/>
                <w:szCs w:val="18"/>
                <w:lang w:val="en-GB"/>
              </w:rPr>
              <w:t>6273 ± 7667</w:t>
            </w:r>
          </w:p>
        </w:tc>
      </w:tr>
      <w:tr w:rsidR="00FA3112" w:rsidRPr="003337C0" w14:paraId="46F05C2C" w14:textId="77777777" w:rsidTr="004D4192">
        <w:trPr>
          <w:trHeight w:val="164"/>
        </w:trPr>
        <w:tc>
          <w:tcPr>
            <w:tcW w:w="3969" w:type="dxa"/>
            <w:tcBorders>
              <w:top w:val="nil"/>
            </w:tcBorders>
            <w:shd w:val="clear" w:color="auto" w:fill="D9D9D9" w:themeFill="background1" w:themeFillShade="D9"/>
            <w:vAlign w:val="center"/>
          </w:tcPr>
          <w:p w14:paraId="46DDD1E2" w14:textId="6923E09D" w:rsidR="00FA3112" w:rsidRPr="003337C0" w:rsidRDefault="00FA3112" w:rsidP="003337C0">
            <w:pPr>
              <w:spacing w:line="240" w:lineRule="auto"/>
              <w:rPr>
                <w:sz w:val="18"/>
                <w:szCs w:val="18"/>
                <w:lang w:val="en-GB"/>
              </w:rPr>
            </w:pPr>
            <w:r w:rsidRPr="003337C0">
              <w:rPr>
                <w:sz w:val="18"/>
                <w:szCs w:val="18"/>
                <w:lang w:val="en-GB"/>
              </w:rPr>
              <w:t>Plug-in hybrid cars versus conventional diesel cars - 11 years lifetime</w:t>
            </w:r>
          </w:p>
        </w:tc>
        <w:tc>
          <w:tcPr>
            <w:tcW w:w="1418" w:type="dxa"/>
            <w:gridSpan w:val="2"/>
            <w:tcBorders>
              <w:top w:val="nil"/>
            </w:tcBorders>
            <w:shd w:val="clear" w:color="auto" w:fill="D9D9D9" w:themeFill="background1" w:themeFillShade="D9"/>
            <w:vAlign w:val="center"/>
          </w:tcPr>
          <w:p w14:paraId="46C99654"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7" w:type="dxa"/>
            <w:gridSpan w:val="2"/>
            <w:tcBorders>
              <w:top w:val="nil"/>
            </w:tcBorders>
            <w:shd w:val="clear" w:color="auto" w:fill="D9D9D9" w:themeFill="background1" w:themeFillShade="D9"/>
            <w:vAlign w:val="center"/>
          </w:tcPr>
          <w:p w14:paraId="3E98FC71" w14:textId="77777777" w:rsidR="00FA3112" w:rsidRPr="003337C0" w:rsidRDefault="00FA3112" w:rsidP="003337C0">
            <w:pPr>
              <w:spacing w:line="240" w:lineRule="auto"/>
              <w:jc w:val="left"/>
              <w:rPr>
                <w:sz w:val="18"/>
                <w:szCs w:val="18"/>
                <w:lang w:val="en-GB"/>
              </w:rPr>
            </w:pPr>
            <w:r w:rsidRPr="003337C0">
              <w:rPr>
                <w:sz w:val="18"/>
                <w:szCs w:val="18"/>
                <w:lang w:val="en-GB"/>
              </w:rPr>
              <w:t>793</w:t>
            </w:r>
            <w:r w:rsidRPr="003337C0">
              <w:rPr>
                <w:sz w:val="18"/>
                <w:szCs w:val="18"/>
                <w:vertAlign w:val="superscript"/>
                <w:lang w:val="en-GB"/>
              </w:rPr>
              <w:t>a</w:t>
            </w:r>
          </w:p>
        </w:tc>
        <w:tc>
          <w:tcPr>
            <w:tcW w:w="1560" w:type="dxa"/>
            <w:tcBorders>
              <w:top w:val="nil"/>
            </w:tcBorders>
            <w:shd w:val="clear" w:color="auto" w:fill="D9D9D9" w:themeFill="background1" w:themeFillShade="D9"/>
            <w:vAlign w:val="center"/>
          </w:tcPr>
          <w:p w14:paraId="0E19526C" w14:textId="77777777" w:rsidR="00FA3112" w:rsidRPr="003337C0" w:rsidRDefault="00FA3112" w:rsidP="003337C0">
            <w:pPr>
              <w:spacing w:line="240" w:lineRule="auto"/>
              <w:jc w:val="left"/>
              <w:rPr>
                <w:sz w:val="18"/>
                <w:szCs w:val="18"/>
                <w:lang w:val="en-GB"/>
              </w:rPr>
            </w:pPr>
            <w:r w:rsidRPr="003337C0">
              <w:rPr>
                <w:sz w:val="18"/>
                <w:szCs w:val="18"/>
                <w:lang w:val="en-GB"/>
              </w:rPr>
              <w:t>951 ± 24</w:t>
            </w:r>
          </w:p>
        </w:tc>
        <w:tc>
          <w:tcPr>
            <w:tcW w:w="1559" w:type="dxa"/>
            <w:tcBorders>
              <w:top w:val="nil"/>
            </w:tcBorders>
            <w:shd w:val="clear" w:color="auto" w:fill="D9D9D9" w:themeFill="background1" w:themeFillShade="D9"/>
            <w:vAlign w:val="center"/>
          </w:tcPr>
          <w:p w14:paraId="7C7BA4C4" w14:textId="77777777" w:rsidR="00FA3112" w:rsidRPr="003337C0" w:rsidRDefault="00FA3112" w:rsidP="003337C0">
            <w:pPr>
              <w:spacing w:line="240" w:lineRule="auto"/>
              <w:jc w:val="left"/>
              <w:rPr>
                <w:sz w:val="18"/>
                <w:szCs w:val="18"/>
                <w:lang w:val="en-GB"/>
              </w:rPr>
            </w:pPr>
            <w:r w:rsidRPr="003337C0">
              <w:rPr>
                <w:sz w:val="18"/>
                <w:szCs w:val="18"/>
                <w:lang w:val="en-GB"/>
              </w:rPr>
              <w:t>759 ± 388</w:t>
            </w:r>
          </w:p>
        </w:tc>
        <w:tc>
          <w:tcPr>
            <w:tcW w:w="1417" w:type="dxa"/>
            <w:tcBorders>
              <w:top w:val="nil"/>
            </w:tcBorders>
            <w:shd w:val="clear" w:color="auto" w:fill="D9D9D9" w:themeFill="background1" w:themeFillShade="D9"/>
            <w:vAlign w:val="center"/>
          </w:tcPr>
          <w:p w14:paraId="2E6CE180" w14:textId="77777777" w:rsidR="00FA3112" w:rsidRPr="003337C0" w:rsidRDefault="00FA3112" w:rsidP="003337C0">
            <w:pPr>
              <w:spacing w:line="240" w:lineRule="auto"/>
              <w:jc w:val="left"/>
              <w:rPr>
                <w:sz w:val="18"/>
                <w:szCs w:val="18"/>
                <w:lang w:val="en-GB"/>
              </w:rPr>
            </w:pPr>
            <w:r w:rsidRPr="003337C0">
              <w:rPr>
                <w:sz w:val="18"/>
                <w:szCs w:val="18"/>
                <w:lang w:val="en-GB"/>
              </w:rPr>
              <w:t>343 ± 397</w:t>
            </w:r>
          </w:p>
        </w:tc>
        <w:tc>
          <w:tcPr>
            <w:tcW w:w="1276" w:type="dxa"/>
            <w:tcBorders>
              <w:top w:val="nil"/>
            </w:tcBorders>
            <w:shd w:val="clear" w:color="auto" w:fill="D9D9D9" w:themeFill="background1" w:themeFillShade="D9"/>
            <w:vAlign w:val="center"/>
          </w:tcPr>
          <w:p w14:paraId="2213AD5D" w14:textId="77777777" w:rsidR="00FA3112" w:rsidRPr="003337C0" w:rsidRDefault="00FA3112" w:rsidP="003337C0">
            <w:pPr>
              <w:spacing w:line="240" w:lineRule="auto"/>
              <w:jc w:val="left"/>
              <w:rPr>
                <w:sz w:val="18"/>
                <w:szCs w:val="18"/>
                <w:lang w:val="en-GB"/>
              </w:rPr>
            </w:pPr>
            <w:r w:rsidRPr="003337C0">
              <w:rPr>
                <w:sz w:val="18"/>
                <w:szCs w:val="18"/>
                <w:lang w:val="en-GB"/>
              </w:rPr>
              <w:t>2649 ± 5294</w:t>
            </w:r>
          </w:p>
        </w:tc>
        <w:tc>
          <w:tcPr>
            <w:tcW w:w="1419" w:type="dxa"/>
            <w:tcBorders>
              <w:top w:val="nil"/>
            </w:tcBorders>
            <w:shd w:val="clear" w:color="auto" w:fill="D9D9D9" w:themeFill="background1" w:themeFillShade="D9"/>
            <w:vAlign w:val="center"/>
          </w:tcPr>
          <w:p w14:paraId="67EE95A9" w14:textId="77777777" w:rsidR="00FA3112" w:rsidRPr="003337C0" w:rsidRDefault="00FA3112" w:rsidP="003337C0">
            <w:pPr>
              <w:spacing w:line="240" w:lineRule="auto"/>
              <w:jc w:val="left"/>
              <w:rPr>
                <w:sz w:val="18"/>
                <w:szCs w:val="18"/>
                <w:lang w:val="en-GB"/>
              </w:rPr>
            </w:pPr>
            <w:r w:rsidRPr="003337C0">
              <w:rPr>
                <w:sz w:val="18"/>
                <w:szCs w:val="18"/>
                <w:lang w:val="en-GB"/>
              </w:rPr>
              <w:t>2637 ± 5033</w:t>
            </w:r>
          </w:p>
        </w:tc>
      </w:tr>
      <w:tr w:rsidR="00FA3112" w:rsidRPr="007C5909" w14:paraId="26E3E87D" w14:textId="77777777" w:rsidTr="00AC363A">
        <w:trPr>
          <w:trHeight w:val="164"/>
        </w:trPr>
        <w:tc>
          <w:tcPr>
            <w:tcW w:w="3969" w:type="dxa"/>
            <w:tcBorders>
              <w:bottom w:val="single" w:sz="4" w:space="0" w:color="auto"/>
            </w:tcBorders>
            <w:vAlign w:val="center"/>
          </w:tcPr>
          <w:p w14:paraId="0E0CCD6B" w14:textId="77777777" w:rsidR="00FA3112" w:rsidRPr="003337C0" w:rsidRDefault="00FA3112" w:rsidP="003337C0">
            <w:pPr>
              <w:spacing w:line="240" w:lineRule="auto"/>
              <w:jc w:val="left"/>
              <w:rPr>
                <w:sz w:val="18"/>
                <w:szCs w:val="18"/>
                <w:lang w:val="en-GB"/>
              </w:rPr>
            </w:pPr>
          </w:p>
        </w:tc>
        <w:tc>
          <w:tcPr>
            <w:tcW w:w="10066" w:type="dxa"/>
            <w:gridSpan w:val="9"/>
            <w:tcBorders>
              <w:bottom w:val="single" w:sz="4" w:space="0" w:color="auto"/>
            </w:tcBorders>
            <w:vAlign w:val="center"/>
          </w:tcPr>
          <w:p w14:paraId="1C3135A6" w14:textId="77777777" w:rsidR="00FA3112" w:rsidRPr="003337C0" w:rsidRDefault="00FA3112" w:rsidP="003337C0">
            <w:pPr>
              <w:spacing w:line="240" w:lineRule="auto"/>
              <w:jc w:val="center"/>
              <w:rPr>
                <w:sz w:val="18"/>
                <w:szCs w:val="18"/>
                <w:lang w:val="en-GB"/>
              </w:rPr>
            </w:pPr>
            <w:r w:rsidRPr="003337C0">
              <w:rPr>
                <w:sz w:val="18"/>
                <w:szCs w:val="18"/>
                <w:lang w:val="en-GB"/>
              </w:rPr>
              <w:t>Scenario II: Real-world tailpipe emissions on the road and emissions from electricity generation</w:t>
            </w:r>
          </w:p>
        </w:tc>
      </w:tr>
      <w:tr w:rsidR="00FA3112" w:rsidRPr="003337C0" w14:paraId="15D64360" w14:textId="77777777" w:rsidTr="004D4192">
        <w:trPr>
          <w:trHeight w:val="164"/>
        </w:trPr>
        <w:tc>
          <w:tcPr>
            <w:tcW w:w="3969" w:type="dxa"/>
            <w:tcBorders>
              <w:bottom w:val="nil"/>
            </w:tcBorders>
            <w:vAlign w:val="center"/>
          </w:tcPr>
          <w:p w14:paraId="105ACC52"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gasoline cars -</w:t>
            </w:r>
          </w:p>
          <w:p w14:paraId="065D0F27" w14:textId="77777777" w:rsidR="00FA3112" w:rsidRPr="003337C0" w:rsidRDefault="00FA3112" w:rsidP="003337C0">
            <w:pPr>
              <w:spacing w:line="240" w:lineRule="auto"/>
              <w:jc w:val="left"/>
              <w:rPr>
                <w:sz w:val="18"/>
                <w:szCs w:val="18"/>
                <w:lang w:val="en-GB"/>
              </w:rPr>
            </w:pPr>
            <w:r w:rsidRPr="003337C0">
              <w:rPr>
                <w:sz w:val="18"/>
                <w:szCs w:val="18"/>
                <w:lang w:val="en-GB"/>
              </w:rPr>
              <w:t>6 years lifetime</w:t>
            </w:r>
          </w:p>
        </w:tc>
        <w:tc>
          <w:tcPr>
            <w:tcW w:w="1418" w:type="dxa"/>
            <w:gridSpan w:val="2"/>
            <w:tcBorders>
              <w:bottom w:val="nil"/>
            </w:tcBorders>
            <w:vAlign w:val="center"/>
          </w:tcPr>
          <w:p w14:paraId="3B1B08D6" w14:textId="77777777" w:rsidR="00FA3112" w:rsidRPr="003337C0" w:rsidRDefault="00FA3112" w:rsidP="003337C0">
            <w:pPr>
              <w:tabs>
                <w:tab w:val="center" w:pos="1270"/>
              </w:tabs>
              <w:spacing w:line="240" w:lineRule="auto"/>
              <w:jc w:val="left"/>
              <w:rPr>
                <w:sz w:val="18"/>
                <w:szCs w:val="18"/>
                <w:lang w:val="en-GB"/>
              </w:rPr>
            </w:pPr>
            <w:r w:rsidRPr="003337C0">
              <w:rPr>
                <w:sz w:val="18"/>
                <w:szCs w:val="18"/>
                <w:lang w:val="en-GB"/>
              </w:rPr>
              <w:t>48687 ± 13981</w:t>
            </w:r>
          </w:p>
        </w:tc>
        <w:tc>
          <w:tcPr>
            <w:tcW w:w="1417" w:type="dxa"/>
            <w:gridSpan w:val="2"/>
            <w:tcBorders>
              <w:bottom w:val="nil"/>
            </w:tcBorders>
            <w:vAlign w:val="center"/>
          </w:tcPr>
          <w:p w14:paraId="172EC007" w14:textId="77777777" w:rsidR="00FA3112" w:rsidRPr="003337C0" w:rsidRDefault="00FA3112" w:rsidP="003337C0">
            <w:pPr>
              <w:spacing w:line="240" w:lineRule="auto"/>
              <w:jc w:val="left"/>
              <w:rPr>
                <w:sz w:val="18"/>
                <w:szCs w:val="18"/>
                <w:lang w:val="en-GB"/>
              </w:rPr>
            </w:pPr>
            <w:r w:rsidRPr="003337C0">
              <w:rPr>
                <w:sz w:val="18"/>
                <w:szCs w:val="18"/>
                <w:lang w:val="en-GB"/>
              </w:rPr>
              <w:t>24721 ± 31174</w:t>
            </w:r>
          </w:p>
        </w:tc>
        <w:tc>
          <w:tcPr>
            <w:tcW w:w="1560" w:type="dxa"/>
            <w:tcBorders>
              <w:bottom w:val="nil"/>
            </w:tcBorders>
            <w:vAlign w:val="center"/>
          </w:tcPr>
          <w:p w14:paraId="77898E8D" w14:textId="77777777" w:rsidR="00FA3112" w:rsidRPr="003337C0" w:rsidRDefault="00FA3112" w:rsidP="003337C0">
            <w:pPr>
              <w:spacing w:line="240" w:lineRule="auto"/>
              <w:jc w:val="left"/>
              <w:rPr>
                <w:sz w:val="18"/>
                <w:szCs w:val="18"/>
                <w:lang w:val="en-GB"/>
              </w:rPr>
            </w:pPr>
            <w:r w:rsidRPr="003337C0">
              <w:rPr>
                <w:sz w:val="18"/>
                <w:szCs w:val="18"/>
                <w:lang w:val="en-GB"/>
              </w:rPr>
              <w:t>25335 ± 35810</w:t>
            </w:r>
          </w:p>
        </w:tc>
        <w:tc>
          <w:tcPr>
            <w:tcW w:w="1559" w:type="dxa"/>
            <w:tcBorders>
              <w:bottom w:val="nil"/>
            </w:tcBorders>
            <w:vAlign w:val="center"/>
          </w:tcPr>
          <w:p w14:paraId="732EB865" w14:textId="77777777" w:rsidR="00FA3112" w:rsidRPr="003337C0" w:rsidRDefault="00FA3112" w:rsidP="003337C0">
            <w:pPr>
              <w:spacing w:line="240" w:lineRule="auto"/>
              <w:jc w:val="left"/>
              <w:rPr>
                <w:sz w:val="18"/>
                <w:szCs w:val="18"/>
                <w:lang w:val="en-GB"/>
              </w:rPr>
            </w:pPr>
            <w:r w:rsidRPr="003337C0">
              <w:rPr>
                <w:sz w:val="18"/>
                <w:szCs w:val="18"/>
                <w:lang w:val="en-GB"/>
              </w:rPr>
              <w:t>-11065 ± 30292</w:t>
            </w:r>
          </w:p>
        </w:tc>
        <w:tc>
          <w:tcPr>
            <w:tcW w:w="1417" w:type="dxa"/>
            <w:tcBorders>
              <w:bottom w:val="nil"/>
            </w:tcBorders>
            <w:vAlign w:val="center"/>
          </w:tcPr>
          <w:p w14:paraId="62650096" w14:textId="77777777" w:rsidR="00FA3112" w:rsidRPr="003337C0" w:rsidRDefault="00FA3112" w:rsidP="003337C0">
            <w:pPr>
              <w:spacing w:line="240" w:lineRule="auto"/>
              <w:jc w:val="left"/>
              <w:rPr>
                <w:sz w:val="18"/>
                <w:szCs w:val="18"/>
                <w:lang w:val="en-GB"/>
              </w:rPr>
            </w:pPr>
            <w:r w:rsidRPr="003337C0">
              <w:rPr>
                <w:sz w:val="18"/>
                <w:szCs w:val="18"/>
                <w:lang w:val="en-GB"/>
              </w:rPr>
              <w:t>-3692 ± 19468</w:t>
            </w:r>
          </w:p>
        </w:tc>
        <w:tc>
          <w:tcPr>
            <w:tcW w:w="1276" w:type="dxa"/>
            <w:tcBorders>
              <w:bottom w:val="nil"/>
            </w:tcBorders>
            <w:vAlign w:val="center"/>
          </w:tcPr>
          <w:p w14:paraId="57D46B1C" w14:textId="77777777" w:rsidR="00FA3112" w:rsidRPr="003337C0" w:rsidRDefault="00FA3112" w:rsidP="003337C0">
            <w:pPr>
              <w:spacing w:line="240" w:lineRule="auto"/>
              <w:jc w:val="left"/>
              <w:rPr>
                <w:sz w:val="18"/>
                <w:szCs w:val="18"/>
                <w:lang w:val="en-GB"/>
              </w:rPr>
            </w:pPr>
            <w:r w:rsidRPr="003337C0">
              <w:rPr>
                <w:sz w:val="18"/>
                <w:szCs w:val="18"/>
                <w:lang w:val="en-GB"/>
              </w:rPr>
              <w:t>-6416 ± 15380</w:t>
            </w:r>
          </w:p>
        </w:tc>
        <w:tc>
          <w:tcPr>
            <w:tcW w:w="1419" w:type="dxa"/>
            <w:tcBorders>
              <w:bottom w:val="nil"/>
            </w:tcBorders>
            <w:vAlign w:val="center"/>
          </w:tcPr>
          <w:p w14:paraId="0B1DEB3D" w14:textId="77777777" w:rsidR="00FA3112" w:rsidRPr="003337C0" w:rsidRDefault="00FA3112" w:rsidP="003337C0">
            <w:pPr>
              <w:spacing w:line="240" w:lineRule="auto"/>
              <w:jc w:val="left"/>
              <w:rPr>
                <w:sz w:val="18"/>
                <w:szCs w:val="18"/>
                <w:lang w:val="en-GB"/>
              </w:rPr>
            </w:pPr>
            <w:r w:rsidRPr="003337C0">
              <w:rPr>
                <w:sz w:val="18"/>
                <w:szCs w:val="18"/>
                <w:lang w:val="en-GB"/>
              </w:rPr>
              <w:t>-7934 ± 14843</w:t>
            </w:r>
          </w:p>
        </w:tc>
      </w:tr>
      <w:tr w:rsidR="00FA3112" w:rsidRPr="003337C0" w14:paraId="7790F236" w14:textId="77777777" w:rsidTr="004D4192">
        <w:trPr>
          <w:trHeight w:val="164"/>
        </w:trPr>
        <w:tc>
          <w:tcPr>
            <w:tcW w:w="3969" w:type="dxa"/>
            <w:tcBorders>
              <w:top w:val="nil"/>
              <w:bottom w:val="single" w:sz="4" w:space="0" w:color="auto"/>
            </w:tcBorders>
            <w:vAlign w:val="center"/>
          </w:tcPr>
          <w:p w14:paraId="57E386E6"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gasoline cars -</w:t>
            </w:r>
          </w:p>
          <w:p w14:paraId="4EBB1B44" w14:textId="77777777" w:rsidR="00FA3112" w:rsidRPr="003337C0" w:rsidRDefault="00FA3112" w:rsidP="003337C0">
            <w:pPr>
              <w:spacing w:line="240" w:lineRule="auto"/>
              <w:jc w:val="left"/>
              <w:rPr>
                <w:sz w:val="18"/>
                <w:szCs w:val="18"/>
                <w:lang w:val="en-GB"/>
              </w:rPr>
            </w:pPr>
            <w:r w:rsidRPr="003337C0">
              <w:rPr>
                <w:sz w:val="18"/>
                <w:szCs w:val="18"/>
                <w:lang w:val="en-GB"/>
              </w:rPr>
              <w:t>11 years lifetime</w:t>
            </w:r>
          </w:p>
        </w:tc>
        <w:tc>
          <w:tcPr>
            <w:tcW w:w="1418" w:type="dxa"/>
            <w:gridSpan w:val="2"/>
            <w:tcBorders>
              <w:top w:val="nil"/>
              <w:bottom w:val="single" w:sz="4" w:space="0" w:color="auto"/>
            </w:tcBorders>
            <w:vAlign w:val="center"/>
          </w:tcPr>
          <w:p w14:paraId="7B11E740" w14:textId="77777777" w:rsidR="00FA3112" w:rsidRPr="003337C0" w:rsidRDefault="00FA3112" w:rsidP="003337C0">
            <w:pPr>
              <w:spacing w:line="240" w:lineRule="auto"/>
              <w:jc w:val="left"/>
              <w:rPr>
                <w:sz w:val="18"/>
                <w:szCs w:val="18"/>
                <w:lang w:val="en-GB"/>
              </w:rPr>
            </w:pPr>
            <w:r w:rsidRPr="003337C0">
              <w:rPr>
                <w:sz w:val="18"/>
                <w:szCs w:val="18"/>
                <w:lang w:val="en-GB"/>
              </w:rPr>
              <w:t>23813 ± 6823</w:t>
            </w:r>
          </w:p>
        </w:tc>
        <w:tc>
          <w:tcPr>
            <w:tcW w:w="1417" w:type="dxa"/>
            <w:gridSpan w:val="2"/>
            <w:tcBorders>
              <w:top w:val="nil"/>
              <w:bottom w:val="single" w:sz="4" w:space="0" w:color="auto"/>
            </w:tcBorders>
            <w:vAlign w:val="center"/>
          </w:tcPr>
          <w:p w14:paraId="78E18380" w14:textId="77777777" w:rsidR="00FA3112" w:rsidRPr="003337C0" w:rsidRDefault="00FA3112" w:rsidP="003337C0">
            <w:pPr>
              <w:spacing w:line="240" w:lineRule="auto"/>
              <w:jc w:val="left"/>
              <w:rPr>
                <w:sz w:val="18"/>
                <w:szCs w:val="18"/>
                <w:lang w:val="en-GB"/>
              </w:rPr>
            </w:pPr>
            <w:r w:rsidRPr="003337C0">
              <w:rPr>
                <w:sz w:val="18"/>
                <w:szCs w:val="18"/>
                <w:lang w:val="en-GB"/>
              </w:rPr>
              <w:t>11282 ± 14980</w:t>
            </w:r>
          </w:p>
        </w:tc>
        <w:tc>
          <w:tcPr>
            <w:tcW w:w="1560" w:type="dxa"/>
            <w:tcBorders>
              <w:top w:val="nil"/>
              <w:bottom w:val="single" w:sz="4" w:space="0" w:color="auto"/>
            </w:tcBorders>
            <w:vAlign w:val="center"/>
          </w:tcPr>
          <w:p w14:paraId="7E7EAC13" w14:textId="77777777" w:rsidR="00FA3112" w:rsidRPr="003337C0" w:rsidRDefault="00FA3112" w:rsidP="003337C0">
            <w:pPr>
              <w:spacing w:line="240" w:lineRule="auto"/>
              <w:jc w:val="left"/>
              <w:rPr>
                <w:sz w:val="18"/>
                <w:szCs w:val="18"/>
                <w:lang w:val="en-GB"/>
              </w:rPr>
            </w:pPr>
            <w:r w:rsidRPr="003337C0">
              <w:rPr>
                <w:sz w:val="18"/>
                <w:szCs w:val="18"/>
                <w:lang w:val="en-GB"/>
              </w:rPr>
              <w:t>11576 ± 17750</w:t>
            </w:r>
          </w:p>
        </w:tc>
        <w:tc>
          <w:tcPr>
            <w:tcW w:w="1559" w:type="dxa"/>
            <w:tcBorders>
              <w:top w:val="nil"/>
              <w:bottom w:val="single" w:sz="4" w:space="0" w:color="auto"/>
            </w:tcBorders>
            <w:vAlign w:val="center"/>
          </w:tcPr>
          <w:p w14:paraId="5C9C485E" w14:textId="77777777" w:rsidR="00FA3112" w:rsidRPr="003337C0" w:rsidRDefault="00FA3112" w:rsidP="003337C0">
            <w:pPr>
              <w:spacing w:line="240" w:lineRule="auto"/>
              <w:jc w:val="left"/>
              <w:rPr>
                <w:sz w:val="18"/>
                <w:szCs w:val="18"/>
                <w:lang w:val="en-GB"/>
              </w:rPr>
            </w:pPr>
            <w:r w:rsidRPr="003337C0">
              <w:rPr>
                <w:sz w:val="18"/>
                <w:szCs w:val="18"/>
                <w:lang w:val="en-GB"/>
              </w:rPr>
              <w:t>-4035 ± 15161</w:t>
            </w:r>
          </w:p>
        </w:tc>
        <w:tc>
          <w:tcPr>
            <w:tcW w:w="1417" w:type="dxa"/>
            <w:tcBorders>
              <w:top w:val="nil"/>
              <w:bottom w:val="single" w:sz="4" w:space="0" w:color="auto"/>
            </w:tcBorders>
            <w:vAlign w:val="center"/>
          </w:tcPr>
          <w:p w14:paraId="7291148A" w14:textId="77777777" w:rsidR="00FA3112" w:rsidRPr="003337C0" w:rsidRDefault="00FA3112" w:rsidP="003337C0">
            <w:pPr>
              <w:spacing w:line="240" w:lineRule="auto"/>
              <w:jc w:val="left"/>
              <w:rPr>
                <w:sz w:val="18"/>
                <w:szCs w:val="18"/>
                <w:lang w:val="en-GB"/>
              </w:rPr>
            </w:pPr>
            <w:r w:rsidRPr="003337C0">
              <w:rPr>
                <w:sz w:val="18"/>
                <w:szCs w:val="18"/>
                <w:lang w:val="en-GB"/>
              </w:rPr>
              <w:t>1320 ± 9180</w:t>
            </w:r>
          </w:p>
        </w:tc>
        <w:tc>
          <w:tcPr>
            <w:tcW w:w="1276" w:type="dxa"/>
            <w:tcBorders>
              <w:top w:val="nil"/>
              <w:bottom w:val="single" w:sz="4" w:space="0" w:color="auto"/>
            </w:tcBorders>
            <w:vAlign w:val="center"/>
          </w:tcPr>
          <w:p w14:paraId="42CDDC88" w14:textId="77777777" w:rsidR="00FA3112" w:rsidRPr="003337C0" w:rsidRDefault="00FA3112" w:rsidP="003337C0">
            <w:pPr>
              <w:spacing w:line="240" w:lineRule="auto"/>
              <w:jc w:val="left"/>
              <w:rPr>
                <w:sz w:val="18"/>
                <w:szCs w:val="18"/>
                <w:lang w:val="en-GB"/>
              </w:rPr>
            </w:pPr>
            <w:r w:rsidRPr="003337C0">
              <w:rPr>
                <w:sz w:val="18"/>
                <w:szCs w:val="18"/>
                <w:lang w:val="en-GB"/>
              </w:rPr>
              <w:t>-562 ± 7146</w:t>
            </w:r>
          </w:p>
        </w:tc>
        <w:tc>
          <w:tcPr>
            <w:tcW w:w="1419" w:type="dxa"/>
            <w:tcBorders>
              <w:top w:val="nil"/>
              <w:bottom w:val="single" w:sz="4" w:space="0" w:color="auto"/>
            </w:tcBorders>
            <w:vAlign w:val="center"/>
          </w:tcPr>
          <w:p w14:paraId="6E92248C" w14:textId="77777777" w:rsidR="00FA3112" w:rsidRPr="003337C0" w:rsidRDefault="00FA3112" w:rsidP="003337C0">
            <w:pPr>
              <w:spacing w:line="240" w:lineRule="auto"/>
              <w:jc w:val="left"/>
              <w:rPr>
                <w:sz w:val="18"/>
                <w:szCs w:val="18"/>
                <w:lang w:val="en-GB"/>
              </w:rPr>
            </w:pPr>
            <w:r w:rsidRPr="003337C0">
              <w:rPr>
                <w:sz w:val="18"/>
                <w:szCs w:val="18"/>
                <w:lang w:val="en-GB"/>
              </w:rPr>
              <w:t>-1471 ± 5880</w:t>
            </w:r>
          </w:p>
        </w:tc>
      </w:tr>
      <w:tr w:rsidR="00FA3112" w:rsidRPr="003337C0" w14:paraId="1E12B2D6" w14:textId="77777777" w:rsidTr="004D4192">
        <w:trPr>
          <w:trHeight w:val="164"/>
        </w:trPr>
        <w:tc>
          <w:tcPr>
            <w:tcW w:w="3969" w:type="dxa"/>
            <w:tcBorders>
              <w:bottom w:val="nil"/>
            </w:tcBorders>
            <w:vAlign w:val="center"/>
          </w:tcPr>
          <w:p w14:paraId="0EA8FC47"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diesel cars -</w:t>
            </w:r>
          </w:p>
          <w:p w14:paraId="03E2F09C" w14:textId="77777777" w:rsidR="00FA3112" w:rsidRPr="003337C0" w:rsidRDefault="00FA3112" w:rsidP="003337C0">
            <w:pPr>
              <w:spacing w:line="240" w:lineRule="auto"/>
              <w:jc w:val="left"/>
              <w:rPr>
                <w:sz w:val="18"/>
                <w:szCs w:val="18"/>
                <w:lang w:val="en-GB"/>
              </w:rPr>
            </w:pPr>
            <w:r w:rsidRPr="003337C0">
              <w:rPr>
                <w:sz w:val="18"/>
                <w:szCs w:val="18"/>
                <w:lang w:val="en-GB"/>
              </w:rPr>
              <w:t>6 years lifetime</w:t>
            </w:r>
          </w:p>
        </w:tc>
        <w:tc>
          <w:tcPr>
            <w:tcW w:w="1418" w:type="dxa"/>
            <w:gridSpan w:val="2"/>
            <w:tcBorders>
              <w:bottom w:val="nil"/>
            </w:tcBorders>
            <w:vAlign w:val="center"/>
          </w:tcPr>
          <w:p w14:paraId="343548B8" w14:textId="77777777" w:rsidR="00FA3112" w:rsidRPr="003337C0" w:rsidRDefault="00FA3112" w:rsidP="003337C0">
            <w:pPr>
              <w:spacing w:line="240" w:lineRule="auto"/>
              <w:jc w:val="left"/>
              <w:rPr>
                <w:sz w:val="18"/>
                <w:szCs w:val="18"/>
                <w:lang w:val="en-GB"/>
              </w:rPr>
            </w:pPr>
            <w:r w:rsidRPr="003337C0">
              <w:rPr>
                <w:sz w:val="18"/>
                <w:szCs w:val="18"/>
                <w:lang w:val="en-GB"/>
              </w:rPr>
              <w:t>647 ± 124</w:t>
            </w:r>
          </w:p>
        </w:tc>
        <w:tc>
          <w:tcPr>
            <w:tcW w:w="1417" w:type="dxa"/>
            <w:gridSpan w:val="2"/>
            <w:tcBorders>
              <w:bottom w:val="nil"/>
            </w:tcBorders>
            <w:vAlign w:val="center"/>
          </w:tcPr>
          <w:p w14:paraId="7B338F96" w14:textId="77777777" w:rsidR="00FA3112" w:rsidRPr="003337C0" w:rsidRDefault="00FA3112" w:rsidP="003337C0">
            <w:pPr>
              <w:spacing w:line="240" w:lineRule="auto"/>
              <w:jc w:val="left"/>
              <w:rPr>
                <w:sz w:val="18"/>
                <w:szCs w:val="18"/>
                <w:lang w:val="en-GB"/>
              </w:rPr>
            </w:pPr>
            <w:r w:rsidRPr="003337C0">
              <w:rPr>
                <w:sz w:val="18"/>
                <w:szCs w:val="18"/>
                <w:lang w:val="en-GB"/>
              </w:rPr>
              <w:t>56 2±73</w:t>
            </w:r>
          </w:p>
        </w:tc>
        <w:tc>
          <w:tcPr>
            <w:tcW w:w="1560" w:type="dxa"/>
            <w:tcBorders>
              <w:bottom w:val="nil"/>
            </w:tcBorders>
            <w:vAlign w:val="center"/>
          </w:tcPr>
          <w:p w14:paraId="0418580B" w14:textId="77777777" w:rsidR="00FA3112" w:rsidRPr="003337C0" w:rsidRDefault="00FA3112" w:rsidP="003337C0">
            <w:pPr>
              <w:spacing w:line="240" w:lineRule="auto"/>
              <w:jc w:val="left"/>
              <w:rPr>
                <w:sz w:val="18"/>
                <w:szCs w:val="18"/>
                <w:lang w:val="en-GB"/>
              </w:rPr>
            </w:pPr>
            <w:r w:rsidRPr="003337C0">
              <w:rPr>
                <w:sz w:val="18"/>
                <w:szCs w:val="18"/>
                <w:lang w:val="en-GB"/>
              </w:rPr>
              <w:t>467 ± 70</w:t>
            </w:r>
          </w:p>
        </w:tc>
        <w:tc>
          <w:tcPr>
            <w:tcW w:w="1559" w:type="dxa"/>
            <w:tcBorders>
              <w:bottom w:val="nil"/>
            </w:tcBorders>
            <w:vAlign w:val="center"/>
          </w:tcPr>
          <w:p w14:paraId="34F65CB6" w14:textId="77777777" w:rsidR="00FA3112" w:rsidRPr="003337C0" w:rsidRDefault="00FA3112" w:rsidP="003337C0">
            <w:pPr>
              <w:spacing w:line="240" w:lineRule="auto"/>
              <w:jc w:val="left"/>
              <w:rPr>
                <w:sz w:val="18"/>
                <w:szCs w:val="18"/>
                <w:lang w:val="en-GB"/>
              </w:rPr>
            </w:pPr>
            <w:r w:rsidRPr="003337C0">
              <w:rPr>
                <w:sz w:val="18"/>
                <w:szCs w:val="18"/>
                <w:lang w:val="en-GB"/>
              </w:rPr>
              <w:t>463 ± 119</w:t>
            </w:r>
          </w:p>
        </w:tc>
        <w:tc>
          <w:tcPr>
            <w:tcW w:w="1417" w:type="dxa"/>
            <w:tcBorders>
              <w:bottom w:val="nil"/>
            </w:tcBorders>
            <w:vAlign w:val="center"/>
          </w:tcPr>
          <w:p w14:paraId="6A4F8D3A" w14:textId="77777777" w:rsidR="00FA3112" w:rsidRPr="003337C0" w:rsidRDefault="00FA3112" w:rsidP="003337C0">
            <w:pPr>
              <w:spacing w:line="240" w:lineRule="auto"/>
              <w:jc w:val="left"/>
              <w:rPr>
                <w:sz w:val="18"/>
                <w:szCs w:val="18"/>
                <w:lang w:val="en-GB"/>
              </w:rPr>
            </w:pPr>
            <w:r w:rsidRPr="003337C0">
              <w:rPr>
                <w:sz w:val="18"/>
                <w:szCs w:val="18"/>
                <w:lang w:val="en-GB"/>
              </w:rPr>
              <w:t>312 ± 123</w:t>
            </w:r>
          </w:p>
        </w:tc>
        <w:tc>
          <w:tcPr>
            <w:tcW w:w="1276" w:type="dxa"/>
            <w:tcBorders>
              <w:bottom w:val="nil"/>
            </w:tcBorders>
            <w:vAlign w:val="center"/>
          </w:tcPr>
          <w:p w14:paraId="08E9E57B" w14:textId="77777777" w:rsidR="00FA3112" w:rsidRPr="003337C0" w:rsidRDefault="00FA3112" w:rsidP="003337C0">
            <w:pPr>
              <w:spacing w:line="240" w:lineRule="auto"/>
              <w:jc w:val="left"/>
              <w:rPr>
                <w:sz w:val="18"/>
                <w:szCs w:val="18"/>
                <w:lang w:val="en-GB"/>
              </w:rPr>
            </w:pPr>
            <w:r w:rsidRPr="003337C0">
              <w:rPr>
                <w:sz w:val="18"/>
                <w:szCs w:val="18"/>
                <w:lang w:val="en-GB"/>
              </w:rPr>
              <w:t>321 ± 74</w:t>
            </w:r>
          </w:p>
        </w:tc>
        <w:tc>
          <w:tcPr>
            <w:tcW w:w="1419" w:type="dxa"/>
            <w:tcBorders>
              <w:bottom w:val="nil"/>
            </w:tcBorders>
            <w:vAlign w:val="center"/>
          </w:tcPr>
          <w:p w14:paraId="10155962" w14:textId="77777777" w:rsidR="00FA3112" w:rsidRPr="003337C0" w:rsidRDefault="00FA3112" w:rsidP="003337C0">
            <w:pPr>
              <w:spacing w:line="240" w:lineRule="auto"/>
              <w:jc w:val="left"/>
              <w:rPr>
                <w:sz w:val="18"/>
                <w:szCs w:val="18"/>
                <w:lang w:val="en-GB"/>
              </w:rPr>
            </w:pPr>
            <w:r w:rsidRPr="003337C0">
              <w:rPr>
                <w:sz w:val="18"/>
                <w:szCs w:val="18"/>
                <w:lang w:val="en-GB"/>
              </w:rPr>
              <w:t>336 ± 128</w:t>
            </w:r>
          </w:p>
        </w:tc>
      </w:tr>
      <w:tr w:rsidR="00FA3112" w:rsidRPr="003337C0" w14:paraId="56E1709C" w14:textId="77777777" w:rsidTr="004D4192">
        <w:trPr>
          <w:trHeight w:val="164"/>
        </w:trPr>
        <w:tc>
          <w:tcPr>
            <w:tcW w:w="3969" w:type="dxa"/>
            <w:tcBorders>
              <w:top w:val="nil"/>
              <w:bottom w:val="single" w:sz="4" w:space="0" w:color="auto"/>
            </w:tcBorders>
            <w:vAlign w:val="center"/>
          </w:tcPr>
          <w:p w14:paraId="4E6371FD"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diesel cars -</w:t>
            </w:r>
          </w:p>
          <w:p w14:paraId="5818E43B" w14:textId="77777777" w:rsidR="00FA3112" w:rsidRPr="003337C0" w:rsidRDefault="00FA3112" w:rsidP="003337C0">
            <w:pPr>
              <w:spacing w:line="240" w:lineRule="auto"/>
              <w:jc w:val="left"/>
              <w:rPr>
                <w:sz w:val="18"/>
                <w:szCs w:val="18"/>
                <w:lang w:val="en-GB"/>
              </w:rPr>
            </w:pPr>
            <w:r w:rsidRPr="003337C0">
              <w:rPr>
                <w:sz w:val="18"/>
                <w:szCs w:val="18"/>
                <w:lang w:val="en-GB"/>
              </w:rPr>
              <w:t>11 years lifetime</w:t>
            </w:r>
          </w:p>
        </w:tc>
        <w:tc>
          <w:tcPr>
            <w:tcW w:w="1418" w:type="dxa"/>
            <w:gridSpan w:val="2"/>
            <w:tcBorders>
              <w:top w:val="nil"/>
              <w:bottom w:val="single" w:sz="4" w:space="0" w:color="auto"/>
            </w:tcBorders>
            <w:vAlign w:val="center"/>
          </w:tcPr>
          <w:p w14:paraId="4DF885CC" w14:textId="77777777" w:rsidR="00FA3112" w:rsidRPr="003337C0" w:rsidRDefault="00FA3112" w:rsidP="003337C0">
            <w:pPr>
              <w:spacing w:line="240" w:lineRule="auto"/>
              <w:jc w:val="left"/>
              <w:rPr>
                <w:sz w:val="18"/>
                <w:szCs w:val="18"/>
                <w:lang w:val="en-GB"/>
              </w:rPr>
            </w:pPr>
            <w:r w:rsidRPr="003337C0">
              <w:rPr>
                <w:sz w:val="18"/>
                <w:szCs w:val="18"/>
                <w:lang w:val="en-GB"/>
              </w:rPr>
              <w:t>373 ± 64</w:t>
            </w:r>
          </w:p>
        </w:tc>
        <w:tc>
          <w:tcPr>
            <w:tcW w:w="1417" w:type="dxa"/>
            <w:gridSpan w:val="2"/>
            <w:tcBorders>
              <w:top w:val="nil"/>
              <w:bottom w:val="single" w:sz="4" w:space="0" w:color="auto"/>
            </w:tcBorders>
            <w:vAlign w:val="center"/>
          </w:tcPr>
          <w:p w14:paraId="5231BF32" w14:textId="77777777" w:rsidR="00FA3112" w:rsidRPr="003337C0" w:rsidRDefault="00FA3112" w:rsidP="003337C0">
            <w:pPr>
              <w:spacing w:line="240" w:lineRule="auto"/>
              <w:jc w:val="left"/>
              <w:rPr>
                <w:sz w:val="18"/>
                <w:szCs w:val="18"/>
                <w:lang w:val="en-GB"/>
              </w:rPr>
            </w:pPr>
            <w:r w:rsidRPr="003337C0">
              <w:rPr>
                <w:sz w:val="18"/>
                <w:szCs w:val="18"/>
                <w:lang w:val="en-GB"/>
              </w:rPr>
              <w:t>284 ± 38</w:t>
            </w:r>
          </w:p>
        </w:tc>
        <w:tc>
          <w:tcPr>
            <w:tcW w:w="1560" w:type="dxa"/>
            <w:tcBorders>
              <w:top w:val="nil"/>
              <w:bottom w:val="single" w:sz="4" w:space="0" w:color="auto"/>
            </w:tcBorders>
            <w:vAlign w:val="center"/>
          </w:tcPr>
          <w:p w14:paraId="5980C411" w14:textId="77777777" w:rsidR="00FA3112" w:rsidRPr="003337C0" w:rsidRDefault="00FA3112" w:rsidP="003337C0">
            <w:pPr>
              <w:spacing w:line="240" w:lineRule="auto"/>
              <w:jc w:val="left"/>
              <w:rPr>
                <w:sz w:val="18"/>
                <w:szCs w:val="18"/>
                <w:lang w:val="en-GB"/>
              </w:rPr>
            </w:pPr>
            <w:r w:rsidRPr="003337C0">
              <w:rPr>
                <w:sz w:val="18"/>
                <w:szCs w:val="18"/>
                <w:lang w:val="en-GB"/>
              </w:rPr>
              <w:t>273 ± 42</w:t>
            </w:r>
          </w:p>
        </w:tc>
        <w:tc>
          <w:tcPr>
            <w:tcW w:w="1559" w:type="dxa"/>
            <w:tcBorders>
              <w:top w:val="nil"/>
              <w:bottom w:val="single" w:sz="4" w:space="0" w:color="auto"/>
            </w:tcBorders>
            <w:vAlign w:val="center"/>
          </w:tcPr>
          <w:p w14:paraId="3BEEB763" w14:textId="77777777" w:rsidR="00FA3112" w:rsidRPr="003337C0" w:rsidRDefault="00FA3112" w:rsidP="003337C0">
            <w:pPr>
              <w:spacing w:line="240" w:lineRule="auto"/>
              <w:jc w:val="left"/>
              <w:rPr>
                <w:sz w:val="18"/>
                <w:szCs w:val="18"/>
                <w:lang w:val="en-GB"/>
              </w:rPr>
            </w:pPr>
            <w:r w:rsidRPr="003337C0">
              <w:rPr>
                <w:sz w:val="18"/>
                <w:szCs w:val="18"/>
                <w:lang w:val="en-GB"/>
              </w:rPr>
              <w:t>270 ± 57</w:t>
            </w:r>
          </w:p>
        </w:tc>
        <w:tc>
          <w:tcPr>
            <w:tcW w:w="1417" w:type="dxa"/>
            <w:tcBorders>
              <w:top w:val="nil"/>
              <w:bottom w:val="single" w:sz="4" w:space="0" w:color="auto"/>
            </w:tcBorders>
            <w:vAlign w:val="center"/>
          </w:tcPr>
          <w:p w14:paraId="4FFE2A6E" w14:textId="77777777" w:rsidR="00FA3112" w:rsidRPr="003337C0" w:rsidRDefault="00FA3112" w:rsidP="003337C0">
            <w:pPr>
              <w:spacing w:line="240" w:lineRule="auto"/>
              <w:jc w:val="left"/>
              <w:rPr>
                <w:sz w:val="18"/>
                <w:szCs w:val="18"/>
                <w:lang w:val="en-GB"/>
              </w:rPr>
            </w:pPr>
            <w:r w:rsidRPr="003337C0">
              <w:rPr>
                <w:sz w:val="18"/>
                <w:szCs w:val="18"/>
                <w:lang w:val="en-GB"/>
              </w:rPr>
              <w:t>175 ± 88</w:t>
            </w:r>
          </w:p>
        </w:tc>
        <w:tc>
          <w:tcPr>
            <w:tcW w:w="1276" w:type="dxa"/>
            <w:tcBorders>
              <w:top w:val="nil"/>
              <w:bottom w:val="single" w:sz="4" w:space="0" w:color="auto"/>
            </w:tcBorders>
            <w:vAlign w:val="center"/>
          </w:tcPr>
          <w:p w14:paraId="64AE9327" w14:textId="77777777" w:rsidR="00FA3112" w:rsidRPr="003337C0" w:rsidRDefault="00FA3112" w:rsidP="003337C0">
            <w:pPr>
              <w:spacing w:line="240" w:lineRule="auto"/>
              <w:jc w:val="left"/>
              <w:rPr>
                <w:sz w:val="18"/>
                <w:szCs w:val="18"/>
                <w:lang w:val="en-GB"/>
              </w:rPr>
            </w:pPr>
            <w:r w:rsidRPr="003337C0">
              <w:rPr>
                <w:sz w:val="18"/>
                <w:szCs w:val="18"/>
                <w:lang w:val="en-GB"/>
              </w:rPr>
              <w:t>169 ± 60</w:t>
            </w:r>
          </w:p>
        </w:tc>
        <w:tc>
          <w:tcPr>
            <w:tcW w:w="1419" w:type="dxa"/>
            <w:tcBorders>
              <w:top w:val="nil"/>
              <w:bottom w:val="single" w:sz="4" w:space="0" w:color="auto"/>
            </w:tcBorders>
            <w:vAlign w:val="center"/>
          </w:tcPr>
          <w:p w14:paraId="18502D2A" w14:textId="77777777" w:rsidR="00FA3112" w:rsidRPr="003337C0" w:rsidRDefault="00FA3112" w:rsidP="003337C0">
            <w:pPr>
              <w:spacing w:line="240" w:lineRule="auto"/>
              <w:jc w:val="left"/>
              <w:rPr>
                <w:sz w:val="18"/>
                <w:szCs w:val="18"/>
                <w:lang w:val="en-GB"/>
              </w:rPr>
            </w:pPr>
            <w:r w:rsidRPr="003337C0">
              <w:rPr>
                <w:sz w:val="18"/>
                <w:szCs w:val="18"/>
                <w:lang w:val="en-GB"/>
              </w:rPr>
              <w:t>182 ± 61</w:t>
            </w:r>
          </w:p>
        </w:tc>
      </w:tr>
      <w:tr w:rsidR="00FA3112" w:rsidRPr="003337C0" w14:paraId="5BFFD0AD" w14:textId="77777777" w:rsidTr="004D4192">
        <w:trPr>
          <w:trHeight w:val="164"/>
        </w:trPr>
        <w:tc>
          <w:tcPr>
            <w:tcW w:w="3969" w:type="dxa"/>
            <w:tcBorders>
              <w:bottom w:val="nil"/>
            </w:tcBorders>
            <w:shd w:val="clear" w:color="auto" w:fill="D9D9D9" w:themeFill="background1" w:themeFillShade="D9"/>
            <w:vAlign w:val="center"/>
          </w:tcPr>
          <w:p w14:paraId="21A9EE09"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versus conventional gasoline cars - 6 years lifetime</w:t>
            </w:r>
          </w:p>
        </w:tc>
        <w:tc>
          <w:tcPr>
            <w:tcW w:w="1418" w:type="dxa"/>
            <w:gridSpan w:val="2"/>
            <w:tcBorders>
              <w:bottom w:val="nil"/>
            </w:tcBorders>
            <w:shd w:val="clear" w:color="auto" w:fill="D9D9D9" w:themeFill="background1" w:themeFillShade="D9"/>
            <w:vAlign w:val="center"/>
          </w:tcPr>
          <w:p w14:paraId="0F1D8F30"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7" w:type="dxa"/>
            <w:gridSpan w:val="2"/>
            <w:tcBorders>
              <w:bottom w:val="nil"/>
            </w:tcBorders>
            <w:shd w:val="clear" w:color="auto" w:fill="D9D9D9" w:themeFill="background1" w:themeFillShade="D9"/>
            <w:vAlign w:val="center"/>
          </w:tcPr>
          <w:p w14:paraId="7C0AD596" w14:textId="77777777" w:rsidR="00FA3112" w:rsidRPr="003337C0" w:rsidRDefault="00FA3112" w:rsidP="003337C0">
            <w:pPr>
              <w:spacing w:line="240" w:lineRule="auto"/>
              <w:jc w:val="left"/>
              <w:rPr>
                <w:sz w:val="18"/>
                <w:szCs w:val="18"/>
                <w:lang w:val="en-GB"/>
              </w:rPr>
            </w:pPr>
            <w:r w:rsidRPr="003337C0">
              <w:rPr>
                <w:sz w:val="18"/>
                <w:szCs w:val="18"/>
                <w:lang w:val="en-GB"/>
              </w:rPr>
              <w:t>-15358</w:t>
            </w:r>
            <w:r w:rsidRPr="003337C0">
              <w:rPr>
                <w:sz w:val="18"/>
                <w:szCs w:val="18"/>
                <w:vertAlign w:val="superscript"/>
                <w:lang w:val="en-GB"/>
              </w:rPr>
              <w:t>a</w:t>
            </w:r>
          </w:p>
        </w:tc>
        <w:tc>
          <w:tcPr>
            <w:tcW w:w="1560" w:type="dxa"/>
            <w:tcBorders>
              <w:bottom w:val="nil"/>
            </w:tcBorders>
            <w:shd w:val="clear" w:color="auto" w:fill="D9D9D9" w:themeFill="background1" w:themeFillShade="D9"/>
            <w:vAlign w:val="center"/>
          </w:tcPr>
          <w:p w14:paraId="46B0E1B0" w14:textId="77777777" w:rsidR="00FA3112" w:rsidRPr="003337C0" w:rsidRDefault="00FA3112" w:rsidP="003337C0">
            <w:pPr>
              <w:spacing w:line="240" w:lineRule="auto"/>
              <w:jc w:val="left"/>
              <w:rPr>
                <w:sz w:val="18"/>
                <w:szCs w:val="18"/>
                <w:lang w:val="en-GB"/>
              </w:rPr>
            </w:pPr>
            <w:r w:rsidRPr="003337C0">
              <w:rPr>
                <w:sz w:val="18"/>
                <w:szCs w:val="18"/>
                <w:lang w:val="en-GB"/>
              </w:rPr>
              <w:t>-1782 ± 7722</w:t>
            </w:r>
          </w:p>
        </w:tc>
        <w:tc>
          <w:tcPr>
            <w:tcW w:w="1559" w:type="dxa"/>
            <w:tcBorders>
              <w:bottom w:val="nil"/>
            </w:tcBorders>
            <w:shd w:val="clear" w:color="auto" w:fill="D9D9D9" w:themeFill="background1" w:themeFillShade="D9"/>
            <w:vAlign w:val="center"/>
          </w:tcPr>
          <w:p w14:paraId="0ACF0311" w14:textId="77777777" w:rsidR="00FA3112" w:rsidRPr="003337C0" w:rsidRDefault="00FA3112" w:rsidP="003337C0">
            <w:pPr>
              <w:spacing w:line="240" w:lineRule="auto"/>
              <w:jc w:val="left"/>
              <w:rPr>
                <w:sz w:val="18"/>
                <w:szCs w:val="18"/>
                <w:lang w:val="en-GB"/>
              </w:rPr>
            </w:pPr>
            <w:r w:rsidRPr="003337C0">
              <w:rPr>
                <w:sz w:val="18"/>
                <w:szCs w:val="18"/>
                <w:lang w:val="en-GB"/>
              </w:rPr>
              <w:t>-4644 ± 6938</w:t>
            </w:r>
          </w:p>
        </w:tc>
        <w:tc>
          <w:tcPr>
            <w:tcW w:w="1417" w:type="dxa"/>
            <w:tcBorders>
              <w:bottom w:val="nil"/>
            </w:tcBorders>
            <w:shd w:val="clear" w:color="auto" w:fill="D9D9D9" w:themeFill="background1" w:themeFillShade="D9"/>
            <w:vAlign w:val="center"/>
          </w:tcPr>
          <w:p w14:paraId="42B56CC1" w14:textId="77777777" w:rsidR="00FA3112" w:rsidRPr="003337C0" w:rsidRDefault="00FA3112" w:rsidP="003337C0">
            <w:pPr>
              <w:spacing w:line="240" w:lineRule="auto"/>
              <w:jc w:val="left"/>
              <w:rPr>
                <w:sz w:val="18"/>
                <w:szCs w:val="18"/>
                <w:lang w:val="en-GB"/>
              </w:rPr>
            </w:pPr>
            <w:r w:rsidRPr="003337C0">
              <w:rPr>
                <w:sz w:val="18"/>
                <w:szCs w:val="18"/>
                <w:lang w:val="en-GB"/>
              </w:rPr>
              <w:t>-2047 ± 6203</w:t>
            </w:r>
          </w:p>
        </w:tc>
        <w:tc>
          <w:tcPr>
            <w:tcW w:w="1276" w:type="dxa"/>
            <w:tcBorders>
              <w:bottom w:val="nil"/>
            </w:tcBorders>
            <w:shd w:val="clear" w:color="auto" w:fill="D9D9D9" w:themeFill="background1" w:themeFillShade="D9"/>
            <w:vAlign w:val="center"/>
          </w:tcPr>
          <w:p w14:paraId="451A1030" w14:textId="77777777" w:rsidR="00FA3112" w:rsidRPr="003337C0" w:rsidRDefault="00FA3112" w:rsidP="003337C0">
            <w:pPr>
              <w:spacing w:line="240" w:lineRule="auto"/>
              <w:jc w:val="left"/>
              <w:rPr>
                <w:sz w:val="18"/>
                <w:szCs w:val="18"/>
                <w:lang w:val="en-GB"/>
              </w:rPr>
            </w:pPr>
            <w:r w:rsidRPr="003337C0">
              <w:rPr>
                <w:sz w:val="18"/>
                <w:szCs w:val="18"/>
                <w:lang w:val="en-GB"/>
              </w:rPr>
              <w:t>-3842 ± 6961</w:t>
            </w:r>
          </w:p>
        </w:tc>
        <w:tc>
          <w:tcPr>
            <w:tcW w:w="1419" w:type="dxa"/>
            <w:tcBorders>
              <w:bottom w:val="nil"/>
            </w:tcBorders>
            <w:shd w:val="clear" w:color="auto" w:fill="D9D9D9" w:themeFill="background1" w:themeFillShade="D9"/>
            <w:vAlign w:val="center"/>
          </w:tcPr>
          <w:p w14:paraId="13EBE6BE" w14:textId="77777777" w:rsidR="00FA3112" w:rsidRPr="003337C0" w:rsidRDefault="00FA3112" w:rsidP="003337C0">
            <w:pPr>
              <w:spacing w:line="240" w:lineRule="auto"/>
              <w:jc w:val="left"/>
              <w:rPr>
                <w:sz w:val="18"/>
                <w:szCs w:val="18"/>
                <w:lang w:val="en-GB"/>
              </w:rPr>
            </w:pPr>
            <w:r w:rsidRPr="003337C0">
              <w:rPr>
                <w:sz w:val="18"/>
                <w:szCs w:val="18"/>
                <w:lang w:val="en-GB"/>
              </w:rPr>
              <w:t>-736 ± 7002</w:t>
            </w:r>
          </w:p>
        </w:tc>
      </w:tr>
      <w:tr w:rsidR="00FA3112" w:rsidRPr="003337C0" w14:paraId="4571920D" w14:textId="77777777" w:rsidTr="004D4192">
        <w:trPr>
          <w:trHeight w:val="164"/>
        </w:trPr>
        <w:tc>
          <w:tcPr>
            <w:tcW w:w="3969" w:type="dxa"/>
            <w:tcBorders>
              <w:top w:val="nil"/>
              <w:bottom w:val="single" w:sz="4" w:space="0" w:color="auto"/>
            </w:tcBorders>
            <w:shd w:val="clear" w:color="auto" w:fill="D9D9D9" w:themeFill="background1" w:themeFillShade="D9"/>
            <w:vAlign w:val="center"/>
          </w:tcPr>
          <w:p w14:paraId="7FF56BE3"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versus conventional gasoline cars - 11 years lifetime</w:t>
            </w:r>
          </w:p>
        </w:tc>
        <w:tc>
          <w:tcPr>
            <w:tcW w:w="1418" w:type="dxa"/>
            <w:gridSpan w:val="2"/>
            <w:tcBorders>
              <w:top w:val="nil"/>
              <w:bottom w:val="single" w:sz="4" w:space="0" w:color="auto"/>
            </w:tcBorders>
            <w:shd w:val="clear" w:color="auto" w:fill="D9D9D9" w:themeFill="background1" w:themeFillShade="D9"/>
            <w:vAlign w:val="center"/>
          </w:tcPr>
          <w:p w14:paraId="0538EB04"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7" w:type="dxa"/>
            <w:gridSpan w:val="2"/>
            <w:tcBorders>
              <w:top w:val="nil"/>
              <w:bottom w:val="single" w:sz="4" w:space="0" w:color="auto"/>
            </w:tcBorders>
            <w:shd w:val="clear" w:color="auto" w:fill="D9D9D9" w:themeFill="background1" w:themeFillShade="D9"/>
            <w:vAlign w:val="center"/>
          </w:tcPr>
          <w:p w14:paraId="739C9C31" w14:textId="77777777" w:rsidR="00FA3112" w:rsidRPr="003337C0" w:rsidRDefault="00FA3112" w:rsidP="003337C0">
            <w:pPr>
              <w:spacing w:line="240" w:lineRule="auto"/>
              <w:jc w:val="left"/>
              <w:rPr>
                <w:sz w:val="18"/>
                <w:szCs w:val="18"/>
                <w:lang w:val="en-GB"/>
              </w:rPr>
            </w:pPr>
            <w:r w:rsidRPr="003337C0">
              <w:rPr>
                <w:sz w:val="18"/>
                <w:szCs w:val="18"/>
                <w:lang w:val="en-GB"/>
              </w:rPr>
              <w:t>-6685</w:t>
            </w:r>
            <w:r w:rsidRPr="003337C0">
              <w:rPr>
                <w:sz w:val="18"/>
                <w:szCs w:val="18"/>
                <w:vertAlign w:val="superscript"/>
                <w:lang w:val="en-GB"/>
              </w:rPr>
              <w:t>a</w:t>
            </w:r>
          </w:p>
        </w:tc>
        <w:tc>
          <w:tcPr>
            <w:tcW w:w="1560" w:type="dxa"/>
            <w:tcBorders>
              <w:top w:val="nil"/>
              <w:bottom w:val="single" w:sz="4" w:space="0" w:color="auto"/>
            </w:tcBorders>
            <w:shd w:val="clear" w:color="auto" w:fill="D9D9D9" w:themeFill="background1" w:themeFillShade="D9"/>
            <w:vAlign w:val="center"/>
          </w:tcPr>
          <w:p w14:paraId="5A20F64A" w14:textId="77777777" w:rsidR="00FA3112" w:rsidRPr="003337C0" w:rsidRDefault="00FA3112" w:rsidP="003337C0">
            <w:pPr>
              <w:spacing w:line="240" w:lineRule="auto"/>
              <w:jc w:val="left"/>
              <w:rPr>
                <w:sz w:val="18"/>
                <w:szCs w:val="18"/>
                <w:lang w:val="en-GB"/>
              </w:rPr>
            </w:pPr>
            <w:r w:rsidRPr="003337C0">
              <w:rPr>
                <w:sz w:val="18"/>
                <w:szCs w:val="18"/>
                <w:lang w:val="en-GB"/>
              </w:rPr>
              <w:t>-288 ± 3731</w:t>
            </w:r>
          </w:p>
        </w:tc>
        <w:tc>
          <w:tcPr>
            <w:tcW w:w="1559" w:type="dxa"/>
            <w:tcBorders>
              <w:top w:val="nil"/>
              <w:bottom w:val="single" w:sz="4" w:space="0" w:color="auto"/>
            </w:tcBorders>
            <w:shd w:val="clear" w:color="auto" w:fill="D9D9D9" w:themeFill="background1" w:themeFillShade="D9"/>
            <w:vAlign w:val="center"/>
          </w:tcPr>
          <w:p w14:paraId="3D9563B4" w14:textId="77777777" w:rsidR="00FA3112" w:rsidRPr="003337C0" w:rsidRDefault="00FA3112" w:rsidP="003337C0">
            <w:pPr>
              <w:spacing w:line="240" w:lineRule="auto"/>
              <w:jc w:val="left"/>
              <w:rPr>
                <w:sz w:val="18"/>
                <w:szCs w:val="18"/>
                <w:lang w:val="en-GB"/>
              </w:rPr>
            </w:pPr>
            <w:r w:rsidRPr="003337C0">
              <w:rPr>
                <w:sz w:val="18"/>
                <w:szCs w:val="18"/>
                <w:lang w:val="en-GB"/>
              </w:rPr>
              <w:t>-284 ± 4100</w:t>
            </w:r>
          </w:p>
        </w:tc>
        <w:tc>
          <w:tcPr>
            <w:tcW w:w="1417" w:type="dxa"/>
            <w:tcBorders>
              <w:top w:val="nil"/>
              <w:bottom w:val="single" w:sz="4" w:space="0" w:color="auto"/>
            </w:tcBorders>
            <w:shd w:val="clear" w:color="auto" w:fill="D9D9D9" w:themeFill="background1" w:themeFillShade="D9"/>
            <w:vAlign w:val="center"/>
          </w:tcPr>
          <w:p w14:paraId="271EBCAB" w14:textId="77777777" w:rsidR="00FA3112" w:rsidRPr="003337C0" w:rsidRDefault="00FA3112" w:rsidP="003337C0">
            <w:pPr>
              <w:spacing w:line="240" w:lineRule="auto"/>
              <w:jc w:val="left"/>
              <w:rPr>
                <w:sz w:val="18"/>
                <w:szCs w:val="18"/>
                <w:lang w:val="en-GB"/>
              </w:rPr>
            </w:pPr>
            <w:r w:rsidRPr="003337C0">
              <w:rPr>
                <w:sz w:val="18"/>
                <w:szCs w:val="18"/>
                <w:lang w:val="en-GB"/>
              </w:rPr>
              <w:t>-30 ± 4011</w:t>
            </w:r>
          </w:p>
        </w:tc>
        <w:tc>
          <w:tcPr>
            <w:tcW w:w="1276" w:type="dxa"/>
            <w:tcBorders>
              <w:top w:val="nil"/>
              <w:bottom w:val="single" w:sz="4" w:space="0" w:color="auto"/>
            </w:tcBorders>
            <w:shd w:val="clear" w:color="auto" w:fill="D9D9D9" w:themeFill="background1" w:themeFillShade="D9"/>
            <w:vAlign w:val="center"/>
          </w:tcPr>
          <w:p w14:paraId="6138C283" w14:textId="77777777" w:rsidR="00FA3112" w:rsidRPr="003337C0" w:rsidRDefault="00FA3112" w:rsidP="003337C0">
            <w:pPr>
              <w:spacing w:line="240" w:lineRule="auto"/>
              <w:jc w:val="left"/>
              <w:rPr>
                <w:sz w:val="18"/>
                <w:szCs w:val="18"/>
                <w:lang w:val="en-GB"/>
              </w:rPr>
            </w:pPr>
            <w:r w:rsidRPr="003337C0">
              <w:rPr>
                <w:sz w:val="18"/>
                <w:szCs w:val="18"/>
                <w:lang w:val="en-GB"/>
              </w:rPr>
              <w:t>-1334 ± 4020</w:t>
            </w:r>
          </w:p>
        </w:tc>
        <w:tc>
          <w:tcPr>
            <w:tcW w:w="1419" w:type="dxa"/>
            <w:tcBorders>
              <w:top w:val="nil"/>
              <w:bottom w:val="single" w:sz="4" w:space="0" w:color="auto"/>
            </w:tcBorders>
            <w:shd w:val="clear" w:color="auto" w:fill="D9D9D9" w:themeFill="background1" w:themeFillShade="D9"/>
            <w:vAlign w:val="center"/>
          </w:tcPr>
          <w:p w14:paraId="598B05FD" w14:textId="77777777" w:rsidR="00FA3112" w:rsidRPr="003337C0" w:rsidRDefault="00FA3112" w:rsidP="003337C0">
            <w:pPr>
              <w:spacing w:line="240" w:lineRule="auto"/>
              <w:jc w:val="left"/>
              <w:rPr>
                <w:sz w:val="18"/>
                <w:szCs w:val="18"/>
                <w:lang w:val="en-GB"/>
              </w:rPr>
            </w:pPr>
            <w:r w:rsidRPr="003337C0">
              <w:rPr>
                <w:sz w:val="18"/>
                <w:szCs w:val="18"/>
                <w:lang w:val="en-GB"/>
              </w:rPr>
              <w:t>1166 ± 3491</w:t>
            </w:r>
          </w:p>
        </w:tc>
      </w:tr>
      <w:tr w:rsidR="00FA3112" w:rsidRPr="003337C0" w14:paraId="3733095E" w14:textId="77777777" w:rsidTr="004D4192">
        <w:trPr>
          <w:trHeight w:val="164"/>
        </w:trPr>
        <w:tc>
          <w:tcPr>
            <w:tcW w:w="3969" w:type="dxa"/>
            <w:tcBorders>
              <w:bottom w:val="nil"/>
            </w:tcBorders>
            <w:shd w:val="clear" w:color="auto" w:fill="D9D9D9" w:themeFill="background1" w:themeFillShade="D9"/>
            <w:vAlign w:val="center"/>
          </w:tcPr>
          <w:p w14:paraId="702D338F" w14:textId="0EEDBD31" w:rsidR="00FA3112" w:rsidRPr="003337C0" w:rsidRDefault="00FA3112" w:rsidP="003337C0">
            <w:pPr>
              <w:spacing w:line="240" w:lineRule="auto"/>
              <w:jc w:val="left"/>
              <w:rPr>
                <w:sz w:val="18"/>
                <w:szCs w:val="18"/>
                <w:lang w:val="en-GB"/>
              </w:rPr>
            </w:pPr>
            <w:r w:rsidRPr="003337C0">
              <w:rPr>
                <w:sz w:val="18"/>
                <w:szCs w:val="18"/>
                <w:lang w:val="en-GB"/>
              </w:rPr>
              <w:t>Plug-in hybrid cars versus conve</w:t>
            </w:r>
            <w:r w:rsidR="006C07E8">
              <w:rPr>
                <w:sz w:val="18"/>
                <w:szCs w:val="18"/>
                <w:lang w:val="en-GB"/>
              </w:rPr>
              <w:t xml:space="preserve">ntional diesel cars - </w:t>
            </w:r>
            <w:r w:rsidRPr="003337C0">
              <w:rPr>
                <w:sz w:val="18"/>
                <w:szCs w:val="18"/>
                <w:lang w:val="en-GB"/>
              </w:rPr>
              <w:t>6 years lifetime</w:t>
            </w:r>
          </w:p>
        </w:tc>
        <w:tc>
          <w:tcPr>
            <w:tcW w:w="1418" w:type="dxa"/>
            <w:gridSpan w:val="2"/>
            <w:tcBorders>
              <w:bottom w:val="nil"/>
            </w:tcBorders>
            <w:shd w:val="clear" w:color="auto" w:fill="D9D9D9" w:themeFill="background1" w:themeFillShade="D9"/>
            <w:vAlign w:val="center"/>
          </w:tcPr>
          <w:p w14:paraId="111FDC0E"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7" w:type="dxa"/>
            <w:gridSpan w:val="2"/>
            <w:tcBorders>
              <w:bottom w:val="nil"/>
            </w:tcBorders>
            <w:shd w:val="clear" w:color="auto" w:fill="D9D9D9" w:themeFill="background1" w:themeFillShade="D9"/>
            <w:vAlign w:val="center"/>
          </w:tcPr>
          <w:p w14:paraId="0E49B62B" w14:textId="77777777" w:rsidR="00FA3112" w:rsidRPr="003337C0" w:rsidRDefault="00FA3112" w:rsidP="003337C0">
            <w:pPr>
              <w:spacing w:line="240" w:lineRule="auto"/>
              <w:jc w:val="left"/>
              <w:rPr>
                <w:sz w:val="18"/>
                <w:szCs w:val="18"/>
                <w:lang w:val="en-GB"/>
              </w:rPr>
            </w:pPr>
            <w:r w:rsidRPr="003337C0">
              <w:rPr>
                <w:sz w:val="18"/>
                <w:szCs w:val="18"/>
                <w:lang w:val="en-GB"/>
              </w:rPr>
              <w:t>3345</w:t>
            </w:r>
            <w:r w:rsidRPr="003337C0">
              <w:rPr>
                <w:sz w:val="18"/>
                <w:szCs w:val="18"/>
                <w:vertAlign w:val="superscript"/>
                <w:lang w:val="en-GB"/>
              </w:rPr>
              <w:t>a</w:t>
            </w:r>
          </w:p>
        </w:tc>
        <w:tc>
          <w:tcPr>
            <w:tcW w:w="1560" w:type="dxa"/>
            <w:tcBorders>
              <w:bottom w:val="nil"/>
            </w:tcBorders>
            <w:shd w:val="clear" w:color="auto" w:fill="D9D9D9" w:themeFill="background1" w:themeFillShade="D9"/>
            <w:vAlign w:val="center"/>
          </w:tcPr>
          <w:p w14:paraId="3CDE4220" w14:textId="77777777" w:rsidR="00FA3112" w:rsidRPr="003337C0" w:rsidRDefault="00FA3112" w:rsidP="003337C0">
            <w:pPr>
              <w:spacing w:line="240" w:lineRule="auto"/>
              <w:jc w:val="left"/>
              <w:rPr>
                <w:sz w:val="18"/>
                <w:szCs w:val="18"/>
                <w:lang w:val="en-GB"/>
              </w:rPr>
            </w:pPr>
            <w:r w:rsidRPr="003337C0">
              <w:rPr>
                <w:sz w:val="18"/>
                <w:szCs w:val="18"/>
                <w:lang w:val="en-GB"/>
              </w:rPr>
              <w:t>3105 ± 311</w:t>
            </w:r>
          </w:p>
        </w:tc>
        <w:tc>
          <w:tcPr>
            <w:tcW w:w="1559" w:type="dxa"/>
            <w:tcBorders>
              <w:bottom w:val="nil"/>
            </w:tcBorders>
            <w:shd w:val="clear" w:color="auto" w:fill="D9D9D9" w:themeFill="background1" w:themeFillShade="D9"/>
            <w:vAlign w:val="center"/>
          </w:tcPr>
          <w:p w14:paraId="359B8970" w14:textId="77777777" w:rsidR="00FA3112" w:rsidRPr="003337C0" w:rsidRDefault="00FA3112" w:rsidP="003337C0">
            <w:pPr>
              <w:spacing w:line="240" w:lineRule="auto"/>
              <w:jc w:val="left"/>
              <w:rPr>
                <w:sz w:val="18"/>
                <w:szCs w:val="18"/>
                <w:lang w:val="en-GB"/>
              </w:rPr>
            </w:pPr>
            <w:r w:rsidRPr="003337C0">
              <w:rPr>
                <w:sz w:val="18"/>
                <w:szCs w:val="18"/>
                <w:lang w:val="en-GB"/>
              </w:rPr>
              <w:t>2413 ± 770</w:t>
            </w:r>
          </w:p>
        </w:tc>
        <w:tc>
          <w:tcPr>
            <w:tcW w:w="1417" w:type="dxa"/>
            <w:tcBorders>
              <w:bottom w:val="nil"/>
            </w:tcBorders>
            <w:shd w:val="clear" w:color="auto" w:fill="D9D9D9" w:themeFill="background1" w:themeFillShade="D9"/>
            <w:vAlign w:val="center"/>
          </w:tcPr>
          <w:p w14:paraId="2AF44FED" w14:textId="77777777" w:rsidR="00FA3112" w:rsidRPr="003337C0" w:rsidRDefault="00FA3112" w:rsidP="003337C0">
            <w:pPr>
              <w:spacing w:line="240" w:lineRule="auto"/>
              <w:jc w:val="left"/>
              <w:rPr>
                <w:sz w:val="18"/>
                <w:szCs w:val="18"/>
                <w:lang w:val="en-GB"/>
              </w:rPr>
            </w:pPr>
            <w:r w:rsidRPr="003337C0">
              <w:rPr>
                <w:sz w:val="18"/>
                <w:szCs w:val="18"/>
                <w:lang w:val="en-GB"/>
              </w:rPr>
              <w:t>1341 ± 1332</w:t>
            </w:r>
          </w:p>
        </w:tc>
        <w:tc>
          <w:tcPr>
            <w:tcW w:w="1276" w:type="dxa"/>
            <w:tcBorders>
              <w:bottom w:val="nil"/>
            </w:tcBorders>
            <w:shd w:val="clear" w:color="auto" w:fill="D9D9D9" w:themeFill="background1" w:themeFillShade="D9"/>
            <w:vAlign w:val="center"/>
          </w:tcPr>
          <w:p w14:paraId="79AB0073" w14:textId="77777777" w:rsidR="00FA3112" w:rsidRPr="003337C0" w:rsidRDefault="00FA3112" w:rsidP="003337C0">
            <w:pPr>
              <w:spacing w:line="240" w:lineRule="auto"/>
              <w:jc w:val="left"/>
              <w:rPr>
                <w:sz w:val="18"/>
                <w:szCs w:val="18"/>
                <w:lang w:val="en-GB"/>
              </w:rPr>
            </w:pPr>
            <w:r w:rsidRPr="003337C0">
              <w:rPr>
                <w:sz w:val="18"/>
                <w:szCs w:val="18"/>
                <w:lang w:val="en-GB"/>
              </w:rPr>
              <w:t>-1430 ± 1561</w:t>
            </w:r>
          </w:p>
        </w:tc>
        <w:tc>
          <w:tcPr>
            <w:tcW w:w="1419" w:type="dxa"/>
            <w:tcBorders>
              <w:bottom w:val="nil"/>
            </w:tcBorders>
            <w:shd w:val="clear" w:color="auto" w:fill="D9D9D9" w:themeFill="background1" w:themeFillShade="D9"/>
            <w:vAlign w:val="center"/>
          </w:tcPr>
          <w:p w14:paraId="303D3550" w14:textId="77777777" w:rsidR="00FA3112" w:rsidRPr="003337C0" w:rsidRDefault="00FA3112" w:rsidP="003337C0">
            <w:pPr>
              <w:spacing w:line="240" w:lineRule="auto"/>
              <w:jc w:val="left"/>
              <w:rPr>
                <w:sz w:val="18"/>
                <w:szCs w:val="18"/>
                <w:lang w:val="en-GB"/>
              </w:rPr>
            </w:pPr>
            <w:r w:rsidRPr="003337C0">
              <w:rPr>
                <w:sz w:val="18"/>
                <w:szCs w:val="18"/>
                <w:lang w:val="en-GB"/>
              </w:rPr>
              <w:t>-1413 ± 1703</w:t>
            </w:r>
          </w:p>
        </w:tc>
      </w:tr>
      <w:tr w:rsidR="00FA3112" w:rsidRPr="003337C0" w14:paraId="1D86EA65" w14:textId="77777777" w:rsidTr="004D4192">
        <w:trPr>
          <w:trHeight w:val="164"/>
        </w:trPr>
        <w:tc>
          <w:tcPr>
            <w:tcW w:w="3969" w:type="dxa"/>
            <w:tcBorders>
              <w:top w:val="nil"/>
            </w:tcBorders>
            <w:shd w:val="clear" w:color="auto" w:fill="D9D9D9" w:themeFill="background1" w:themeFillShade="D9"/>
            <w:vAlign w:val="center"/>
          </w:tcPr>
          <w:p w14:paraId="2C949D75" w14:textId="264C5ADD" w:rsidR="00FA3112" w:rsidRPr="003337C0" w:rsidRDefault="00FA3112" w:rsidP="003337C0">
            <w:pPr>
              <w:spacing w:line="240" w:lineRule="auto"/>
              <w:jc w:val="left"/>
              <w:rPr>
                <w:sz w:val="18"/>
                <w:szCs w:val="18"/>
                <w:lang w:val="en-GB"/>
              </w:rPr>
            </w:pPr>
            <w:r w:rsidRPr="003337C0">
              <w:rPr>
                <w:sz w:val="18"/>
                <w:szCs w:val="18"/>
                <w:lang w:val="en-GB"/>
              </w:rPr>
              <w:t>Plug-in hybrid cars ve</w:t>
            </w:r>
            <w:r w:rsidR="006C07E8">
              <w:rPr>
                <w:sz w:val="18"/>
                <w:szCs w:val="18"/>
                <w:lang w:val="en-GB"/>
              </w:rPr>
              <w:t xml:space="preserve">rsus conventional diesel cars - </w:t>
            </w:r>
            <w:r w:rsidRPr="003337C0">
              <w:rPr>
                <w:sz w:val="18"/>
                <w:szCs w:val="18"/>
                <w:lang w:val="en-GB"/>
              </w:rPr>
              <w:t>11 years lifetime</w:t>
            </w:r>
          </w:p>
        </w:tc>
        <w:tc>
          <w:tcPr>
            <w:tcW w:w="1418" w:type="dxa"/>
            <w:gridSpan w:val="2"/>
            <w:tcBorders>
              <w:top w:val="nil"/>
            </w:tcBorders>
            <w:shd w:val="clear" w:color="auto" w:fill="D9D9D9" w:themeFill="background1" w:themeFillShade="D9"/>
            <w:vAlign w:val="center"/>
          </w:tcPr>
          <w:p w14:paraId="5C6963C6"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7" w:type="dxa"/>
            <w:gridSpan w:val="2"/>
            <w:tcBorders>
              <w:top w:val="nil"/>
            </w:tcBorders>
            <w:shd w:val="clear" w:color="auto" w:fill="D9D9D9" w:themeFill="background1" w:themeFillShade="D9"/>
            <w:vAlign w:val="center"/>
          </w:tcPr>
          <w:p w14:paraId="52258DB4" w14:textId="77777777" w:rsidR="00FA3112" w:rsidRPr="003337C0" w:rsidRDefault="00FA3112" w:rsidP="003337C0">
            <w:pPr>
              <w:spacing w:line="240" w:lineRule="auto"/>
              <w:jc w:val="left"/>
              <w:rPr>
                <w:sz w:val="18"/>
                <w:szCs w:val="18"/>
                <w:lang w:val="en-GB"/>
              </w:rPr>
            </w:pPr>
            <w:r w:rsidRPr="003337C0">
              <w:rPr>
                <w:sz w:val="18"/>
                <w:szCs w:val="18"/>
                <w:lang w:val="en-GB"/>
              </w:rPr>
              <w:t>1571</w:t>
            </w:r>
            <w:r w:rsidRPr="003337C0">
              <w:rPr>
                <w:sz w:val="18"/>
                <w:szCs w:val="18"/>
                <w:vertAlign w:val="superscript"/>
                <w:lang w:val="en-GB"/>
              </w:rPr>
              <w:t>a</w:t>
            </w:r>
          </w:p>
        </w:tc>
        <w:tc>
          <w:tcPr>
            <w:tcW w:w="1560" w:type="dxa"/>
            <w:tcBorders>
              <w:top w:val="nil"/>
            </w:tcBorders>
            <w:shd w:val="clear" w:color="auto" w:fill="D9D9D9" w:themeFill="background1" w:themeFillShade="D9"/>
            <w:vAlign w:val="center"/>
          </w:tcPr>
          <w:p w14:paraId="05BA0604" w14:textId="77777777" w:rsidR="00FA3112" w:rsidRPr="003337C0" w:rsidRDefault="00FA3112" w:rsidP="003337C0">
            <w:pPr>
              <w:spacing w:line="240" w:lineRule="auto"/>
              <w:jc w:val="left"/>
              <w:rPr>
                <w:sz w:val="18"/>
                <w:szCs w:val="18"/>
                <w:lang w:val="en-GB"/>
              </w:rPr>
            </w:pPr>
            <w:r w:rsidRPr="003337C0">
              <w:rPr>
                <w:sz w:val="18"/>
                <w:szCs w:val="18"/>
                <w:lang w:val="en-GB"/>
              </w:rPr>
              <w:t>1574 ± 108</w:t>
            </w:r>
          </w:p>
        </w:tc>
        <w:tc>
          <w:tcPr>
            <w:tcW w:w="1559" w:type="dxa"/>
            <w:tcBorders>
              <w:top w:val="nil"/>
            </w:tcBorders>
            <w:shd w:val="clear" w:color="auto" w:fill="D9D9D9" w:themeFill="background1" w:themeFillShade="D9"/>
            <w:vAlign w:val="center"/>
          </w:tcPr>
          <w:p w14:paraId="4C856FD7" w14:textId="77777777" w:rsidR="00FA3112" w:rsidRPr="003337C0" w:rsidRDefault="00FA3112" w:rsidP="003337C0">
            <w:pPr>
              <w:spacing w:line="240" w:lineRule="auto"/>
              <w:jc w:val="left"/>
              <w:rPr>
                <w:sz w:val="18"/>
                <w:szCs w:val="18"/>
                <w:lang w:val="en-GB"/>
              </w:rPr>
            </w:pPr>
            <w:r w:rsidRPr="003337C0">
              <w:rPr>
                <w:sz w:val="18"/>
                <w:szCs w:val="18"/>
                <w:lang w:val="en-GB"/>
              </w:rPr>
              <w:t>1179 ± 599</w:t>
            </w:r>
          </w:p>
        </w:tc>
        <w:tc>
          <w:tcPr>
            <w:tcW w:w="1417" w:type="dxa"/>
            <w:tcBorders>
              <w:top w:val="nil"/>
            </w:tcBorders>
            <w:shd w:val="clear" w:color="auto" w:fill="D9D9D9" w:themeFill="background1" w:themeFillShade="D9"/>
            <w:vAlign w:val="center"/>
          </w:tcPr>
          <w:p w14:paraId="36206146" w14:textId="77777777" w:rsidR="00FA3112" w:rsidRPr="003337C0" w:rsidRDefault="00FA3112" w:rsidP="003337C0">
            <w:pPr>
              <w:spacing w:line="240" w:lineRule="auto"/>
              <w:jc w:val="left"/>
              <w:rPr>
                <w:sz w:val="18"/>
                <w:szCs w:val="18"/>
                <w:lang w:val="en-GB"/>
              </w:rPr>
            </w:pPr>
            <w:r w:rsidRPr="003337C0">
              <w:rPr>
                <w:sz w:val="18"/>
                <w:szCs w:val="18"/>
                <w:lang w:val="en-GB"/>
              </w:rPr>
              <w:t>621 ± 832</w:t>
            </w:r>
          </w:p>
        </w:tc>
        <w:tc>
          <w:tcPr>
            <w:tcW w:w="1276" w:type="dxa"/>
            <w:tcBorders>
              <w:top w:val="nil"/>
            </w:tcBorders>
            <w:shd w:val="clear" w:color="auto" w:fill="D9D9D9" w:themeFill="background1" w:themeFillShade="D9"/>
            <w:vAlign w:val="center"/>
          </w:tcPr>
          <w:p w14:paraId="13408FED" w14:textId="77777777" w:rsidR="00FA3112" w:rsidRPr="003337C0" w:rsidRDefault="00FA3112" w:rsidP="003337C0">
            <w:pPr>
              <w:spacing w:line="240" w:lineRule="auto"/>
              <w:jc w:val="left"/>
              <w:rPr>
                <w:sz w:val="18"/>
                <w:szCs w:val="18"/>
                <w:lang w:val="en-GB"/>
              </w:rPr>
            </w:pPr>
            <w:r w:rsidRPr="003337C0">
              <w:rPr>
                <w:sz w:val="18"/>
                <w:szCs w:val="18"/>
                <w:lang w:val="en-GB"/>
              </w:rPr>
              <w:t>-573 ± 1013</w:t>
            </w:r>
          </w:p>
        </w:tc>
        <w:tc>
          <w:tcPr>
            <w:tcW w:w="1419" w:type="dxa"/>
            <w:tcBorders>
              <w:top w:val="nil"/>
            </w:tcBorders>
            <w:shd w:val="clear" w:color="auto" w:fill="D9D9D9" w:themeFill="background1" w:themeFillShade="D9"/>
            <w:vAlign w:val="center"/>
          </w:tcPr>
          <w:p w14:paraId="2EDE343E" w14:textId="77777777" w:rsidR="00FA3112" w:rsidRPr="003337C0" w:rsidRDefault="00FA3112" w:rsidP="003337C0">
            <w:pPr>
              <w:spacing w:line="240" w:lineRule="auto"/>
              <w:jc w:val="left"/>
              <w:rPr>
                <w:sz w:val="18"/>
                <w:szCs w:val="18"/>
                <w:lang w:val="en-GB"/>
              </w:rPr>
            </w:pPr>
            <w:r w:rsidRPr="003337C0">
              <w:rPr>
                <w:sz w:val="18"/>
                <w:szCs w:val="18"/>
                <w:lang w:val="en-GB"/>
              </w:rPr>
              <w:t>-564 ± 1044</w:t>
            </w:r>
          </w:p>
        </w:tc>
      </w:tr>
      <w:tr w:rsidR="00FA3112" w:rsidRPr="003337C0" w14:paraId="01C2BC50" w14:textId="77777777" w:rsidTr="00AC363A">
        <w:trPr>
          <w:trHeight w:val="164"/>
        </w:trPr>
        <w:tc>
          <w:tcPr>
            <w:tcW w:w="3969" w:type="dxa"/>
            <w:vMerge w:val="restart"/>
            <w:vAlign w:val="center"/>
          </w:tcPr>
          <w:p w14:paraId="5BDADD30" w14:textId="52EA11CA" w:rsidR="00FA3112" w:rsidRPr="003337C0" w:rsidRDefault="00FA3112" w:rsidP="003337C0">
            <w:pPr>
              <w:spacing w:line="240" w:lineRule="auto"/>
              <w:jc w:val="left"/>
              <w:rPr>
                <w:sz w:val="18"/>
                <w:szCs w:val="18"/>
                <w:lang w:val="en-GB"/>
              </w:rPr>
            </w:pPr>
            <w:r w:rsidRPr="003337C0">
              <w:rPr>
                <w:sz w:val="18"/>
                <w:szCs w:val="18"/>
                <w:lang w:val="en-GB"/>
              </w:rPr>
              <w:t>Emissions mitigation costs in [</w:t>
            </w:r>
            <w:r w:rsidR="00075DA0">
              <w:rPr>
                <w:sz w:val="18"/>
                <w:szCs w:val="18"/>
                <w:lang w:val="en-GB"/>
              </w:rPr>
              <w:t xml:space="preserve">1000 </w:t>
            </w:r>
            <w:r w:rsidRPr="003337C0">
              <w:rPr>
                <w:sz w:val="18"/>
                <w:szCs w:val="18"/>
                <w:lang w:val="en-GB"/>
              </w:rPr>
              <w:t>EUR</w:t>
            </w:r>
            <w:r w:rsidRPr="003337C0">
              <w:rPr>
                <w:sz w:val="18"/>
                <w:szCs w:val="18"/>
                <w:vertAlign w:val="subscript"/>
                <w:lang w:val="en-GB"/>
              </w:rPr>
              <w:t>2015</w:t>
            </w:r>
            <w:r w:rsidRPr="003337C0">
              <w:rPr>
                <w:sz w:val="18"/>
                <w:szCs w:val="18"/>
                <w:lang w:val="en-GB"/>
              </w:rPr>
              <w:t>/10</w:t>
            </w:r>
            <w:r w:rsidRPr="003337C0">
              <w:rPr>
                <w:sz w:val="18"/>
                <w:szCs w:val="18"/>
                <w:vertAlign w:val="superscript"/>
                <w:lang w:val="en-GB"/>
              </w:rPr>
              <w:t>17</w:t>
            </w:r>
            <w:r w:rsidRPr="003337C0">
              <w:rPr>
                <w:sz w:val="18"/>
                <w:szCs w:val="18"/>
                <w:lang w:val="en-GB"/>
              </w:rPr>
              <w:t xml:space="preserve"> particles]</w:t>
            </w:r>
          </w:p>
        </w:tc>
        <w:tc>
          <w:tcPr>
            <w:tcW w:w="10066" w:type="dxa"/>
            <w:gridSpan w:val="9"/>
            <w:vAlign w:val="center"/>
          </w:tcPr>
          <w:p w14:paraId="766452A0" w14:textId="77777777" w:rsidR="00FA3112" w:rsidRPr="003337C0" w:rsidRDefault="00FA3112" w:rsidP="003337C0">
            <w:pPr>
              <w:spacing w:line="240" w:lineRule="auto"/>
              <w:jc w:val="center"/>
              <w:rPr>
                <w:sz w:val="18"/>
                <w:szCs w:val="18"/>
                <w:lang w:val="en-GB"/>
              </w:rPr>
            </w:pPr>
            <w:r w:rsidRPr="003337C0">
              <w:rPr>
                <w:sz w:val="18"/>
                <w:szCs w:val="18"/>
                <w:lang w:val="en-GB"/>
              </w:rPr>
              <w:t>PN emissions</w:t>
            </w:r>
          </w:p>
        </w:tc>
      </w:tr>
      <w:tr w:rsidR="00FA3112" w:rsidRPr="007C5909" w14:paraId="68B3428C" w14:textId="77777777" w:rsidTr="00AC363A">
        <w:trPr>
          <w:trHeight w:val="164"/>
        </w:trPr>
        <w:tc>
          <w:tcPr>
            <w:tcW w:w="3969" w:type="dxa"/>
            <w:vMerge/>
            <w:tcBorders>
              <w:bottom w:val="single" w:sz="4" w:space="0" w:color="auto"/>
            </w:tcBorders>
            <w:vAlign w:val="center"/>
          </w:tcPr>
          <w:p w14:paraId="26BF0A07" w14:textId="77777777" w:rsidR="00FA3112" w:rsidRPr="003337C0" w:rsidRDefault="00FA3112" w:rsidP="003337C0">
            <w:pPr>
              <w:spacing w:line="240" w:lineRule="auto"/>
              <w:jc w:val="left"/>
              <w:rPr>
                <w:sz w:val="18"/>
                <w:szCs w:val="18"/>
                <w:lang w:val="en-GB"/>
              </w:rPr>
            </w:pPr>
          </w:p>
        </w:tc>
        <w:tc>
          <w:tcPr>
            <w:tcW w:w="10066" w:type="dxa"/>
            <w:gridSpan w:val="9"/>
            <w:tcBorders>
              <w:bottom w:val="single" w:sz="4" w:space="0" w:color="auto"/>
            </w:tcBorders>
            <w:vAlign w:val="center"/>
          </w:tcPr>
          <w:p w14:paraId="09F07488" w14:textId="77777777" w:rsidR="00FA3112" w:rsidRPr="003337C0" w:rsidRDefault="00FA3112" w:rsidP="003337C0">
            <w:pPr>
              <w:spacing w:line="240" w:lineRule="auto"/>
              <w:jc w:val="center"/>
              <w:rPr>
                <w:sz w:val="18"/>
                <w:szCs w:val="18"/>
                <w:lang w:val="en-GB"/>
              </w:rPr>
            </w:pPr>
            <w:r w:rsidRPr="003337C0">
              <w:rPr>
                <w:sz w:val="18"/>
                <w:szCs w:val="18"/>
                <w:lang w:val="en-GB"/>
              </w:rPr>
              <w:t>Scenario: Real-world tail-pipe emissions on the road</w:t>
            </w:r>
          </w:p>
        </w:tc>
      </w:tr>
      <w:tr w:rsidR="00FA3112" w:rsidRPr="003337C0" w14:paraId="0233FF54" w14:textId="77777777" w:rsidTr="00AC363A">
        <w:trPr>
          <w:trHeight w:val="164"/>
        </w:trPr>
        <w:tc>
          <w:tcPr>
            <w:tcW w:w="3969" w:type="dxa"/>
            <w:tcBorders>
              <w:bottom w:val="nil"/>
            </w:tcBorders>
            <w:vAlign w:val="center"/>
          </w:tcPr>
          <w:p w14:paraId="400CD717"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gasoline cars -</w:t>
            </w:r>
          </w:p>
          <w:p w14:paraId="47A46C37" w14:textId="77777777" w:rsidR="00FA3112" w:rsidRPr="003337C0" w:rsidRDefault="00FA3112" w:rsidP="003337C0">
            <w:pPr>
              <w:spacing w:line="240" w:lineRule="auto"/>
              <w:jc w:val="left"/>
              <w:rPr>
                <w:sz w:val="18"/>
                <w:szCs w:val="18"/>
                <w:lang w:val="en-GB"/>
              </w:rPr>
            </w:pPr>
            <w:r w:rsidRPr="003337C0">
              <w:rPr>
                <w:sz w:val="18"/>
                <w:szCs w:val="18"/>
                <w:lang w:val="en-GB"/>
              </w:rPr>
              <w:t>6 years lifetime</w:t>
            </w:r>
          </w:p>
        </w:tc>
        <w:tc>
          <w:tcPr>
            <w:tcW w:w="1276" w:type="dxa"/>
            <w:tcBorders>
              <w:bottom w:val="nil"/>
            </w:tcBorders>
            <w:vAlign w:val="center"/>
          </w:tcPr>
          <w:p w14:paraId="09D8522D" w14:textId="77777777" w:rsidR="00FA3112" w:rsidRPr="003337C0" w:rsidRDefault="00FA3112" w:rsidP="003337C0">
            <w:pPr>
              <w:spacing w:line="240" w:lineRule="auto"/>
              <w:jc w:val="left"/>
              <w:rPr>
                <w:sz w:val="18"/>
                <w:szCs w:val="18"/>
                <w:lang w:val="en-GB"/>
              </w:rPr>
            </w:pPr>
            <w:r w:rsidRPr="003337C0">
              <w:rPr>
                <w:sz w:val="18"/>
                <w:szCs w:val="18"/>
                <w:lang w:val="en-GB"/>
              </w:rPr>
              <w:t>33 ± 6</w:t>
            </w:r>
          </w:p>
        </w:tc>
        <w:tc>
          <w:tcPr>
            <w:tcW w:w="1418" w:type="dxa"/>
            <w:gridSpan w:val="2"/>
            <w:tcBorders>
              <w:bottom w:val="nil"/>
            </w:tcBorders>
            <w:vAlign w:val="center"/>
          </w:tcPr>
          <w:p w14:paraId="4AD533CE" w14:textId="77777777" w:rsidR="00FA3112" w:rsidRPr="003337C0" w:rsidRDefault="00FA3112" w:rsidP="003337C0">
            <w:pPr>
              <w:spacing w:line="240" w:lineRule="auto"/>
              <w:jc w:val="left"/>
              <w:rPr>
                <w:sz w:val="18"/>
                <w:szCs w:val="18"/>
                <w:lang w:val="en-GB"/>
              </w:rPr>
            </w:pPr>
            <w:r w:rsidRPr="003337C0">
              <w:rPr>
                <w:sz w:val="18"/>
                <w:szCs w:val="18"/>
                <w:lang w:val="en-GB"/>
              </w:rPr>
              <w:t>29 ±4</w:t>
            </w:r>
          </w:p>
        </w:tc>
        <w:tc>
          <w:tcPr>
            <w:tcW w:w="1701" w:type="dxa"/>
            <w:gridSpan w:val="2"/>
            <w:tcBorders>
              <w:bottom w:val="nil"/>
            </w:tcBorders>
            <w:vAlign w:val="center"/>
          </w:tcPr>
          <w:p w14:paraId="70314D29" w14:textId="77777777" w:rsidR="00FA3112" w:rsidRPr="003337C0" w:rsidRDefault="00FA3112" w:rsidP="003337C0">
            <w:pPr>
              <w:spacing w:line="240" w:lineRule="auto"/>
              <w:jc w:val="left"/>
              <w:rPr>
                <w:sz w:val="18"/>
                <w:szCs w:val="18"/>
                <w:lang w:val="en-GB"/>
              </w:rPr>
            </w:pPr>
            <w:r w:rsidRPr="003337C0">
              <w:rPr>
                <w:sz w:val="18"/>
                <w:szCs w:val="18"/>
                <w:lang w:val="en-GB"/>
              </w:rPr>
              <w:t>23 ± 4</w:t>
            </w:r>
          </w:p>
        </w:tc>
        <w:tc>
          <w:tcPr>
            <w:tcW w:w="1559" w:type="dxa"/>
            <w:tcBorders>
              <w:bottom w:val="nil"/>
            </w:tcBorders>
            <w:vAlign w:val="center"/>
          </w:tcPr>
          <w:p w14:paraId="2E6A0A3E" w14:textId="77777777" w:rsidR="00FA3112" w:rsidRPr="003337C0" w:rsidRDefault="00FA3112" w:rsidP="003337C0">
            <w:pPr>
              <w:spacing w:line="240" w:lineRule="auto"/>
              <w:jc w:val="left"/>
              <w:rPr>
                <w:sz w:val="18"/>
                <w:szCs w:val="18"/>
                <w:lang w:val="en-GB"/>
              </w:rPr>
            </w:pPr>
            <w:r w:rsidRPr="003337C0">
              <w:rPr>
                <w:sz w:val="18"/>
                <w:szCs w:val="18"/>
                <w:lang w:val="en-GB"/>
              </w:rPr>
              <w:t>22 ± 7</w:t>
            </w:r>
          </w:p>
        </w:tc>
        <w:tc>
          <w:tcPr>
            <w:tcW w:w="1417" w:type="dxa"/>
            <w:tcBorders>
              <w:bottom w:val="nil"/>
            </w:tcBorders>
            <w:vAlign w:val="center"/>
          </w:tcPr>
          <w:p w14:paraId="3517B907" w14:textId="77777777" w:rsidR="00FA3112" w:rsidRPr="003337C0" w:rsidRDefault="00FA3112" w:rsidP="003337C0">
            <w:pPr>
              <w:spacing w:line="240" w:lineRule="auto"/>
              <w:jc w:val="left"/>
              <w:rPr>
                <w:sz w:val="18"/>
                <w:szCs w:val="18"/>
                <w:lang w:val="en-GB"/>
              </w:rPr>
            </w:pPr>
            <w:r w:rsidRPr="003337C0">
              <w:rPr>
                <w:sz w:val="18"/>
                <w:szCs w:val="18"/>
                <w:lang w:val="en-GB"/>
              </w:rPr>
              <w:t>14 ± 7</w:t>
            </w:r>
          </w:p>
        </w:tc>
        <w:tc>
          <w:tcPr>
            <w:tcW w:w="1276" w:type="dxa"/>
            <w:tcBorders>
              <w:bottom w:val="nil"/>
            </w:tcBorders>
            <w:vAlign w:val="center"/>
          </w:tcPr>
          <w:p w14:paraId="6A22067A" w14:textId="77777777" w:rsidR="00FA3112" w:rsidRPr="003337C0" w:rsidRDefault="00FA3112" w:rsidP="003337C0">
            <w:pPr>
              <w:spacing w:line="240" w:lineRule="auto"/>
              <w:jc w:val="left"/>
              <w:rPr>
                <w:sz w:val="18"/>
                <w:szCs w:val="18"/>
                <w:lang w:val="en-GB"/>
              </w:rPr>
            </w:pPr>
            <w:r w:rsidRPr="003337C0">
              <w:rPr>
                <w:sz w:val="18"/>
                <w:szCs w:val="18"/>
                <w:lang w:val="en-GB"/>
              </w:rPr>
              <w:t>3 ± 1</w:t>
            </w:r>
          </w:p>
        </w:tc>
        <w:tc>
          <w:tcPr>
            <w:tcW w:w="1419" w:type="dxa"/>
            <w:tcBorders>
              <w:bottom w:val="nil"/>
            </w:tcBorders>
            <w:vAlign w:val="center"/>
          </w:tcPr>
          <w:p w14:paraId="365F545B" w14:textId="77777777" w:rsidR="00FA3112" w:rsidRPr="003337C0" w:rsidRDefault="00FA3112" w:rsidP="003337C0">
            <w:pPr>
              <w:spacing w:line="240" w:lineRule="auto"/>
              <w:jc w:val="left"/>
              <w:rPr>
                <w:sz w:val="18"/>
                <w:szCs w:val="18"/>
                <w:lang w:val="en-GB"/>
              </w:rPr>
            </w:pPr>
            <w:r w:rsidRPr="003337C0">
              <w:rPr>
                <w:sz w:val="18"/>
                <w:szCs w:val="18"/>
                <w:lang w:val="en-GB"/>
              </w:rPr>
              <w:t>3 ± 1</w:t>
            </w:r>
          </w:p>
        </w:tc>
      </w:tr>
      <w:tr w:rsidR="00FA3112" w:rsidRPr="003337C0" w14:paraId="5FF80D6F" w14:textId="77777777" w:rsidTr="00AC363A">
        <w:trPr>
          <w:trHeight w:val="164"/>
        </w:trPr>
        <w:tc>
          <w:tcPr>
            <w:tcW w:w="3969" w:type="dxa"/>
            <w:tcBorders>
              <w:top w:val="nil"/>
              <w:bottom w:val="single" w:sz="4" w:space="0" w:color="auto"/>
            </w:tcBorders>
            <w:vAlign w:val="center"/>
          </w:tcPr>
          <w:p w14:paraId="1FD6EBF2"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gasoline cars -</w:t>
            </w:r>
          </w:p>
          <w:p w14:paraId="13265FC3" w14:textId="77777777" w:rsidR="00FA3112" w:rsidRPr="003337C0" w:rsidRDefault="00FA3112" w:rsidP="003337C0">
            <w:pPr>
              <w:spacing w:line="240" w:lineRule="auto"/>
              <w:jc w:val="left"/>
              <w:rPr>
                <w:sz w:val="18"/>
                <w:szCs w:val="18"/>
                <w:lang w:val="en-GB"/>
              </w:rPr>
            </w:pPr>
            <w:r w:rsidRPr="003337C0">
              <w:rPr>
                <w:sz w:val="18"/>
                <w:szCs w:val="18"/>
                <w:lang w:val="en-GB"/>
              </w:rPr>
              <w:t>11 years lifetime</w:t>
            </w:r>
          </w:p>
        </w:tc>
        <w:tc>
          <w:tcPr>
            <w:tcW w:w="1276" w:type="dxa"/>
            <w:tcBorders>
              <w:top w:val="nil"/>
              <w:bottom w:val="single" w:sz="4" w:space="0" w:color="auto"/>
            </w:tcBorders>
            <w:vAlign w:val="center"/>
          </w:tcPr>
          <w:p w14:paraId="423472D6" w14:textId="77777777" w:rsidR="00FA3112" w:rsidRPr="003337C0" w:rsidRDefault="00FA3112" w:rsidP="003337C0">
            <w:pPr>
              <w:spacing w:line="240" w:lineRule="auto"/>
              <w:jc w:val="left"/>
              <w:rPr>
                <w:sz w:val="18"/>
                <w:szCs w:val="18"/>
                <w:lang w:val="en-GB"/>
              </w:rPr>
            </w:pPr>
            <w:r w:rsidRPr="003337C0">
              <w:rPr>
                <w:sz w:val="18"/>
                <w:szCs w:val="18"/>
                <w:lang w:val="en-GB"/>
              </w:rPr>
              <w:t>18 ± 3</w:t>
            </w:r>
          </w:p>
        </w:tc>
        <w:tc>
          <w:tcPr>
            <w:tcW w:w="1418" w:type="dxa"/>
            <w:gridSpan w:val="2"/>
            <w:tcBorders>
              <w:top w:val="nil"/>
              <w:bottom w:val="single" w:sz="4" w:space="0" w:color="auto"/>
            </w:tcBorders>
            <w:vAlign w:val="center"/>
          </w:tcPr>
          <w:p w14:paraId="71266204" w14:textId="77777777" w:rsidR="00FA3112" w:rsidRPr="003337C0" w:rsidRDefault="00FA3112" w:rsidP="003337C0">
            <w:pPr>
              <w:spacing w:line="240" w:lineRule="auto"/>
              <w:jc w:val="left"/>
              <w:rPr>
                <w:sz w:val="18"/>
                <w:szCs w:val="18"/>
                <w:lang w:val="en-GB"/>
              </w:rPr>
            </w:pPr>
            <w:r w:rsidRPr="003337C0">
              <w:rPr>
                <w:sz w:val="18"/>
                <w:szCs w:val="18"/>
                <w:lang w:val="en-GB"/>
              </w:rPr>
              <w:t>13 ± 2</w:t>
            </w:r>
          </w:p>
        </w:tc>
        <w:tc>
          <w:tcPr>
            <w:tcW w:w="1701" w:type="dxa"/>
            <w:gridSpan w:val="2"/>
            <w:tcBorders>
              <w:top w:val="nil"/>
              <w:bottom w:val="single" w:sz="4" w:space="0" w:color="auto"/>
            </w:tcBorders>
            <w:vAlign w:val="center"/>
          </w:tcPr>
          <w:p w14:paraId="688B3155" w14:textId="77777777" w:rsidR="00FA3112" w:rsidRPr="003337C0" w:rsidRDefault="00FA3112" w:rsidP="003337C0">
            <w:pPr>
              <w:spacing w:line="240" w:lineRule="auto"/>
              <w:jc w:val="left"/>
              <w:rPr>
                <w:sz w:val="18"/>
                <w:szCs w:val="18"/>
                <w:lang w:val="en-GB"/>
              </w:rPr>
            </w:pPr>
            <w:r w:rsidRPr="003337C0">
              <w:rPr>
                <w:sz w:val="18"/>
                <w:szCs w:val="18"/>
                <w:lang w:val="en-GB"/>
              </w:rPr>
              <w:t>12 ± 2</w:t>
            </w:r>
          </w:p>
        </w:tc>
        <w:tc>
          <w:tcPr>
            <w:tcW w:w="1559" w:type="dxa"/>
            <w:tcBorders>
              <w:top w:val="nil"/>
              <w:bottom w:val="single" w:sz="4" w:space="0" w:color="auto"/>
            </w:tcBorders>
            <w:vAlign w:val="center"/>
          </w:tcPr>
          <w:p w14:paraId="3EF069B6" w14:textId="77777777" w:rsidR="00FA3112" w:rsidRPr="003337C0" w:rsidRDefault="00FA3112" w:rsidP="003337C0">
            <w:pPr>
              <w:spacing w:line="240" w:lineRule="auto"/>
              <w:jc w:val="left"/>
              <w:rPr>
                <w:sz w:val="18"/>
                <w:szCs w:val="18"/>
                <w:lang w:val="en-GB"/>
              </w:rPr>
            </w:pPr>
            <w:r w:rsidRPr="003337C0">
              <w:rPr>
                <w:sz w:val="18"/>
                <w:szCs w:val="18"/>
                <w:lang w:val="en-GB"/>
              </w:rPr>
              <w:t>11 ± 3</w:t>
            </w:r>
          </w:p>
        </w:tc>
        <w:tc>
          <w:tcPr>
            <w:tcW w:w="1417" w:type="dxa"/>
            <w:tcBorders>
              <w:top w:val="nil"/>
              <w:bottom w:val="single" w:sz="4" w:space="0" w:color="auto"/>
            </w:tcBorders>
            <w:vAlign w:val="center"/>
          </w:tcPr>
          <w:p w14:paraId="2814512C" w14:textId="77777777" w:rsidR="00FA3112" w:rsidRPr="003337C0" w:rsidRDefault="00FA3112" w:rsidP="003337C0">
            <w:pPr>
              <w:spacing w:line="240" w:lineRule="auto"/>
              <w:jc w:val="left"/>
              <w:rPr>
                <w:sz w:val="18"/>
                <w:szCs w:val="18"/>
                <w:lang w:val="en-GB"/>
              </w:rPr>
            </w:pPr>
            <w:r w:rsidRPr="003337C0">
              <w:rPr>
                <w:sz w:val="18"/>
                <w:szCs w:val="18"/>
                <w:lang w:val="en-GB"/>
              </w:rPr>
              <w:t>6.5 ± 5.1</w:t>
            </w:r>
          </w:p>
        </w:tc>
        <w:tc>
          <w:tcPr>
            <w:tcW w:w="1276" w:type="dxa"/>
            <w:tcBorders>
              <w:top w:val="nil"/>
              <w:bottom w:val="single" w:sz="4" w:space="0" w:color="auto"/>
            </w:tcBorders>
            <w:vAlign w:val="center"/>
          </w:tcPr>
          <w:p w14:paraId="2E7AC799" w14:textId="77777777" w:rsidR="00FA3112" w:rsidRPr="003337C0" w:rsidRDefault="00FA3112" w:rsidP="003337C0">
            <w:pPr>
              <w:spacing w:line="240" w:lineRule="auto"/>
              <w:jc w:val="left"/>
              <w:rPr>
                <w:sz w:val="18"/>
                <w:szCs w:val="18"/>
                <w:lang w:val="en-GB"/>
              </w:rPr>
            </w:pPr>
            <w:r w:rsidRPr="003337C0">
              <w:rPr>
                <w:sz w:val="18"/>
                <w:szCs w:val="18"/>
                <w:lang w:val="en-GB"/>
              </w:rPr>
              <w:t>1.0 ± 0.9</w:t>
            </w:r>
          </w:p>
        </w:tc>
        <w:tc>
          <w:tcPr>
            <w:tcW w:w="1419" w:type="dxa"/>
            <w:tcBorders>
              <w:top w:val="nil"/>
              <w:bottom w:val="single" w:sz="4" w:space="0" w:color="auto"/>
            </w:tcBorders>
            <w:vAlign w:val="center"/>
          </w:tcPr>
          <w:p w14:paraId="3747FE6B" w14:textId="77777777" w:rsidR="00FA3112" w:rsidRPr="003337C0" w:rsidRDefault="00FA3112" w:rsidP="003337C0">
            <w:pPr>
              <w:spacing w:line="240" w:lineRule="auto"/>
              <w:jc w:val="left"/>
              <w:rPr>
                <w:sz w:val="18"/>
                <w:szCs w:val="18"/>
                <w:lang w:val="en-GB"/>
              </w:rPr>
            </w:pPr>
            <w:r w:rsidRPr="003337C0">
              <w:rPr>
                <w:sz w:val="18"/>
                <w:szCs w:val="18"/>
                <w:lang w:val="en-GB"/>
              </w:rPr>
              <w:t>1.0 ± 0.7</w:t>
            </w:r>
          </w:p>
        </w:tc>
      </w:tr>
      <w:tr w:rsidR="00FA3112" w:rsidRPr="003337C0" w14:paraId="19848B29" w14:textId="77777777" w:rsidTr="00AC363A">
        <w:trPr>
          <w:trHeight w:val="164"/>
        </w:trPr>
        <w:tc>
          <w:tcPr>
            <w:tcW w:w="3969" w:type="dxa"/>
            <w:tcBorders>
              <w:bottom w:val="nil"/>
            </w:tcBorders>
            <w:vAlign w:val="center"/>
          </w:tcPr>
          <w:p w14:paraId="4A284EDD"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diesel cars -</w:t>
            </w:r>
          </w:p>
          <w:p w14:paraId="07665193" w14:textId="77777777" w:rsidR="00FA3112" w:rsidRPr="003337C0" w:rsidRDefault="00FA3112" w:rsidP="003337C0">
            <w:pPr>
              <w:spacing w:line="240" w:lineRule="auto"/>
              <w:jc w:val="left"/>
              <w:rPr>
                <w:sz w:val="18"/>
                <w:szCs w:val="18"/>
                <w:lang w:val="en-GB"/>
              </w:rPr>
            </w:pPr>
            <w:r w:rsidRPr="003337C0">
              <w:rPr>
                <w:sz w:val="18"/>
                <w:szCs w:val="18"/>
                <w:lang w:val="en-GB"/>
              </w:rPr>
              <w:t>6 years lifetime</w:t>
            </w:r>
          </w:p>
        </w:tc>
        <w:tc>
          <w:tcPr>
            <w:tcW w:w="1276" w:type="dxa"/>
            <w:tcBorders>
              <w:bottom w:val="nil"/>
            </w:tcBorders>
            <w:vAlign w:val="center"/>
          </w:tcPr>
          <w:p w14:paraId="7B542D58" w14:textId="77777777" w:rsidR="00FA3112" w:rsidRPr="003337C0" w:rsidRDefault="00FA3112" w:rsidP="003337C0">
            <w:pPr>
              <w:spacing w:line="240" w:lineRule="auto"/>
              <w:jc w:val="left"/>
              <w:rPr>
                <w:sz w:val="18"/>
                <w:szCs w:val="18"/>
                <w:lang w:val="en-GB"/>
              </w:rPr>
            </w:pPr>
            <w:r w:rsidRPr="003337C0">
              <w:rPr>
                <w:sz w:val="18"/>
                <w:szCs w:val="18"/>
                <w:lang w:val="en-GB"/>
              </w:rPr>
              <w:t>352 ± 64</w:t>
            </w:r>
          </w:p>
        </w:tc>
        <w:tc>
          <w:tcPr>
            <w:tcW w:w="1418" w:type="dxa"/>
            <w:gridSpan w:val="2"/>
            <w:tcBorders>
              <w:bottom w:val="nil"/>
            </w:tcBorders>
            <w:vAlign w:val="center"/>
          </w:tcPr>
          <w:p w14:paraId="675C8AF8" w14:textId="77777777" w:rsidR="00FA3112" w:rsidRPr="003337C0" w:rsidRDefault="00FA3112" w:rsidP="003337C0">
            <w:pPr>
              <w:spacing w:line="240" w:lineRule="auto"/>
              <w:jc w:val="left"/>
              <w:rPr>
                <w:sz w:val="18"/>
                <w:szCs w:val="18"/>
                <w:lang w:val="en-GB"/>
              </w:rPr>
            </w:pPr>
            <w:r w:rsidRPr="003337C0">
              <w:rPr>
                <w:sz w:val="18"/>
                <w:szCs w:val="18"/>
                <w:lang w:val="en-GB"/>
              </w:rPr>
              <w:t>316 ± 46</w:t>
            </w:r>
          </w:p>
        </w:tc>
        <w:tc>
          <w:tcPr>
            <w:tcW w:w="1701" w:type="dxa"/>
            <w:gridSpan w:val="2"/>
            <w:tcBorders>
              <w:bottom w:val="nil"/>
            </w:tcBorders>
            <w:vAlign w:val="center"/>
          </w:tcPr>
          <w:p w14:paraId="644C2BA0" w14:textId="77777777" w:rsidR="00FA3112" w:rsidRPr="003337C0" w:rsidRDefault="00FA3112" w:rsidP="003337C0">
            <w:pPr>
              <w:spacing w:line="240" w:lineRule="auto"/>
              <w:jc w:val="left"/>
              <w:rPr>
                <w:sz w:val="18"/>
                <w:szCs w:val="18"/>
                <w:lang w:val="en-GB"/>
              </w:rPr>
            </w:pPr>
            <w:r w:rsidRPr="003337C0">
              <w:rPr>
                <w:sz w:val="18"/>
                <w:szCs w:val="18"/>
                <w:lang w:val="en-GB"/>
              </w:rPr>
              <w:t>258 ± 40</w:t>
            </w:r>
          </w:p>
        </w:tc>
        <w:tc>
          <w:tcPr>
            <w:tcW w:w="1559" w:type="dxa"/>
            <w:tcBorders>
              <w:bottom w:val="nil"/>
            </w:tcBorders>
            <w:vAlign w:val="center"/>
          </w:tcPr>
          <w:p w14:paraId="593289AB" w14:textId="77777777" w:rsidR="00FA3112" w:rsidRPr="003337C0" w:rsidRDefault="00FA3112" w:rsidP="003337C0">
            <w:pPr>
              <w:spacing w:line="240" w:lineRule="auto"/>
              <w:jc w:val="left"/>
              <w:rPr>
                <w:sz w:val="18"/>
                <w:szCs w:val="18"/>
                <w:lang w:val="en-GB"/>
              </w:rPr>
            </w:pPr>
            <w:r w:rsidRPr="003337C0">
              <w:rPr>
                <w:sz w:val="18"/>
                <w:szCs w:val="18"/>
                <w:lang w:val="en-GB"/>
              </w:rPr>
              <w:t>252 ± 68</w:t>
            </w:r>
          </w:p>
        </w:tc>
        <w:tc>
          <w:tcPr>
            <w:tcW w:w="1417" w:type="dxa"/>
            <w:tcBorders>
              <w:bottom w:val="nil"/>
            </w:tcBorders>
            <w:vAlign w:val="center"/>
          </w:tcPr>
          <w:p w14:paraId="02D83838" w14:textId="77777777" w:rsidR="00FA3112" w:rsidRPr="003337C0" w:rsidRDefault="00FA3112" w:rsidP="003337C0">
            <w:pPr>
              <w:spacing w:line="240" w:lineRule="auto"/>
              <w:jc w:val="left"/>
              <w:rPr>
                <w:sz w:val="18"/>
                <w:szCs w:val="18"/>
                <w:lang w:val="en-GB"/>
              </w:rPr>
            </w:pPr>
            <w:r w:rsidRPr="003337C0">
              <w:rPr>
                <w:sz w:val="18"/>
                <w:szCs w:val="18"/>
                <w:lang w:val="en-GB"/>
              </w:rPr>
              <w:t>173 ± 66</w:t>
            </w:r>
          </w:p>
        </w:tc>
        <w:tc>
          <w:tcPr>
            <w:tcW w:w="1276" w:type="dxa"/>
            <w:tcBorders>
              <w:bottom w:val="nil"/>
            </w:tcBorders>
            <w:vAlign w:val="center"/>
          </w:tcPr>
          <w:p w14:paraId="3BF180AE" w14:textId="77777777" w:rsidR="00FA3112" w:rsidRPr="003337C0" w:rsidRDefault="00FA3112" w:rsidP="003337C0">
            <w:pPr>
              <w:spacing w:line="240" w:lineRule="auto"/>
              <w:jc w:val="left"/>
              <w:rPr>
                <w:sz w:val="18"/>
                <w:szCs w:val="18"/>
                <w:lang w:val="en-GB"/>
              </w:rPr>
            </w:pPr>
            <w:r w:rsidRPr="003337C0">
              <w:rPr>
                <w:sz w:val="18"/>
                <w:szCs w:val="18"/>
                <w:lang w:val="en-GB"/>
              </w:rPr>
              <w:t>139 ± 32</w:t>
            </w:r>
          </w:p>
        </w:tc>
        <w:tc>
          <w:tcPr>
            <w:tcW w:w="1419" w:type="dxa"/>
            <w:tcBorders>
              <w:bottom w:val="nil"/>
            </w:tcBorders>
            <w:vAlign w:val="center"/>
          </w:tcPr>
          <w:p w14:paraId="3AE25FDE" w14:textId="77777777" w:rsidR="00FA3112" w:rsidRPr="003337C0" w:rsidRDefault="00FA3112" w:rsidP="003337C0">
            <w:pPr>
              <w:spacing w:line="240" w:lineRule="auto"/>
              <w:jc w:val="left"/>
              <w:rPr>
                <w:sz w:val="18"/>
                <w:szCs w:val="18"/>
                <w:lang w:val="en-GB"/>
              </w:rPr>
            </w:pPr>
            <w:r w:rsidRPr="003337C0">
              <w:rPr>
                <w:sz w:val="18"/>
                <w:szCs w:val="18"/>
                <w:lang w:val="en-GB"/>
              </w:rPr>
              <w:t>149 ± 52</w:t>
            </w:r>
          </w:p>
        </w:tc>
      </w:tr>
      <w:tr w:rsidR="00FA3112" w:rsidRPr="003337C0" w14:paraId="54C59246" w14:textId="77777777" w:rsidTr="00AC363A">
        <w:trPr>
          <w:trHeight w:val="164"/>
        </w:trPr>
        <w:tc>
          <w:tcPr>
            <w:tcW w:w="3969" w:type="dxa"/>
            <w:tcBorders>
              <w:top w:val="nil"/>
              <w:bottom w:val="single" w:sz="4" w:space="0" w:color="auto"/>
            </w:tcBorders>
            <w:vAlign w:val="center"/>
          </w:tcPr>
          <w:p w14:paraId="0CDB70A0" w14:textId="77777777" w:rsidR="00FA3112" w:rsidRPr="003337C0" w:rsidRDefault="00FA3112" w:rsidP="003337C0">
            <w:pPr>
              <w:spacing w:line="240" w:lineRule="auto"/>
              <w:jc w:val="left"/>
              <w:rPr>
                <w:sz w:val="18"/>
                <w:szCs w:val="18"/>
                <w:lang w:val="en-GB"/>
              </w:rPr>
            </w:pPr>
            <w:r w:rsidRPr="003337C0">
              <w:rPr>
                <w:sz w:val="18"/>
                <w:szCs w:val="18"/>
                <w:lang w:val="en-GB"/>
              </w:rPr>
              <w:t>Electric cars versus conventional diesel cars -</w:t>
            </w:r>
          </w:p>
          <w:p w14:paraId="597C5D99" w14:textId="77777777" w:rsidR="00FA3112" w:rsidRPr="003337C0" w:rsidRDefault="00FA3112" w:rsidP="003337C0">
            <w:pPr>
              <w:spacing w:line="240" w:lineRule="auto"/>
              <w:jc w:val="left"/>
              <w:rPr>
                <w:sz w:val="18"/>
                <w:szCs w:val="18"/>
                <w:lang w:val="en-GB"/>
              </w:rPr>
            </w:pPr>
            <w:r w:rsidRPr="003337C0">
              <w:rPr>
                <w:sz w:val="18"/>
                <w:szCs w:val="18"/>
                <w:lang w:val="en-GB"/>
              </w:rPr>
              <w:t>11 years lifetime</w:t>
            </w:r>
          </w:p>
        </w:tc>
        <w:tc>
          <w:tcPr>
            <w:tcW w:w="1276" w:type="dxa"/>
            <w:tcBorders>
              <w:top w:val="nil"/>
              <w:bottom w:val="single" w:sz="4" w:space="0" w:color="auto"/>
            </w:tcBorders>
            <w:vAlign w:val="center"/>
          </w:tcPr>
          <w:p w14:paraId="131FAE9F" w14:textId="77777777" w:rsidR="00FA3112" w:rsidRPr="003337C0" w:rsidRDefault="00FA3112" w:rsidP="003337C0">
            <w:pPr>
              <w:spacing w:line="240" w:lineRule="auto"/>
              <w:jc w:val="left"/>
              <w:rPr>
                <w:sz w:val="18"/>
                <w:szCs w:val="18"/>
                <w:lang w:val="en-GB"/>
              </w:rPr>
            </w:pPr>
            <w:r w:rsidRPr="003337C0">
              <w:rPr>
                <w:sz w:val="18"/>
                <w:szCs w:val="18"/>
                <w:lang w:val="en-GB"/>
              </w:rPr>
              <w:t>203 ± 33</w:t>
            </w:r>
          </w:p>
        </w:tc>
        <w:tc>
          <w:tcPr>
            <w:tcW w:w="1418" w:type="dxa"/>
            <w:gridSpan w:val="2"/>
            <w:tcBorders>
              <w:top w:val="nil"/>
              <w:bottom w:val="single" w:sz="4" w:space="0" w:color="auto"/>
            </w:tcBorders>
            <w:vAlign w:val="center"/>
          </w:tcPr>
          <w:p w14:paraId="417ABCCA" w14:textId="77777777" w:rsidR="00FA3112" w:rsidRPr="003337C0" w:rsidRDefault="00FA3112" w:rsidP="003337C0">
            <w:pPr>
              <w:spacing w:line="240" w:lineRule="auto"/>
              <w:jc w:val="left"/>
              <w:rPr>
                <w:sz w:val="18"/>
                <w:szCs w:val="18"/>
                <w:lang w:val="en-GB"/>
              </w:rPr>
            </w:pPr>
            <w:r w:rsidRPr="003337C0">
              <w:rPr>
                <w:sz w:val="18"/>
                <w:szCs w:val="18"/>
                <w:lang w:val="en-GB"/>
              </w:rPr>
              <w:t>160 ± 25</w:t>
            </w:r>
          </w:p>
        </w:tc>
        <w:tc>
          <w:tcPr>
            <w:tcW w:w="1701" w:type="dxa"/>
            <w:gridSpan w:val="2"/>
            <w:tcBorders>
              <w:top w:val="nil"/>
              <w:bottom w:val="single" w:sz="4" w:space="0" w:color="auto"/>
            </w:tcBorders>
            <w:vAlign w:val="center"/>
          </w:tcPr>
          <w:p w14:paraId="1CA95F9C" w14:textId="77777777" w:rsidR="00FA3112" w:rsidRPr="003337C0" w:rsidRDefault="00FA3112" w:rsidP="003337C0">
            <w:pPr>
              <w:spacing w:line="240" w:lineRule="auto"/>
              <w:jc w:val="left"/>
              <w:rPr>
                <w:sz w:val="18"/>
                <w:szCs w:val="18"/>
                <w:lang w:val="en-GB"/>
              </w:rPr>
            </w:pPr>
            <w:r w:rsidRPr="003337C0">
              <w:rPr>
                <w:sz w:val="18"/>
                <w:szCs w:val="18"/>
                <w:lang w:val="en-GB"/>
              </w:rPr>
              <w:t>152 ± 24</w:t>
            </w:r>
          </w:p>
        </w:tc>
        <w:tc>
          <w:tcPr>
            <w:tcW w:w="1559" w:type="dxa"/>
            <w:tcBorders>
              <w:top w:val="nil"/>
              <w:bottom w:val="single" w:sz="4" w:space="0" w:color="auto"/>
            </w:tcBorders>
            <w:vAlign w:val="center"/>
          </w:tcPr>
          <w:p w14:paraId="28C5AF6D" w14:textId="77777777" w:rsidR="00FA3112" w:rsidRPr="003337C0" w:rsidRDefault="00FA3112" w:rsidP="003337C0">
            <w:pPr>
              <w:spacing w:line="240" w:lineRule="auto"/>
              <w:jc w:val="left"/>
              <w:rPr>
                <w:sz w:val="18"/>
                <w:szCs w:val="18"/>
                <w:lang w:val="en-GB"/>
              </w:rPr>
            </w:pPr>
            <w:r w:rsidRPr="003337C0">
              <w:rPr>
                <w:sz w:val="18"/>
                <w:szCs w:val="18"/>
                <w:lang w:val="en-GB"/>
              </w:rPr>
              <w:t>147 ± 33</w:t>
            </w:r>
          </w:p>
        </w:tc>
        <w:tc>
          <w:tcPr>
            <w:tcW w:w="1417" w:type="dxa"/>
            <w:tcBorders>
              <w:top w:val="nil"/>
              <w:bottom w:val="single" w:sz="4" w:space="0" w:color="auto"/>
            </w:tcBorders>
            <w:vAlign w:val="center"/>
          </w:tcPr>
          <w:p w14:paraId="42E7B493" w14:textId="77777777" w:rsidR="00FA3112" w:rsidRPr="003337C0" w:rsidRDefault="00FA3112" w:rsidP="003337C0">
            <w:pPr>
              <w:spacing w:line="240" w:lineRule="auto"/>
              <w:jc w:val="left"/>
              <w:rPr>
                <w:sz w:val="18"/>
                <w:szCs w:val="18"/>
                <w:lang w:val="en-GB"/>
              </w:rPr>
            </w:pPr>
            <w:r w:rsidRPr="003337C0">
              <w:rPr>
                <w:sz w:val="18"/>
                <w:szCs w:val="18"/>
                <w:lang w:val="en-GB"/>
              </w:rPr>
              <w:t>97 ± 47</w:t>
            </w:r>
          </w:p>
        </w:tc>
        <w:tc>
          <w:tcPr>
            <w:tcW w:w="1276" w:type="dxa"/>
            <w:tcBorders>
              <w:top w:val="nil"/>
              <w:bottom w:val="single" w:sz="4" w:space="0" w:color="auto"/>
            </w:tcBorders>
            <w:vAlign w:val="center"/>
          </w:tcPr>
          <w:p w14:paraId="4E074C49" w14:textId="77777777" w:rsidR="00FA3112" w:rsidRPr="003337C0" w:rsidRDefault="00FA3112" w:rsidP="003337C0">
            <w:pPr>
              <w:spacing w:line="240" w:lineRule="auto"/>
              <w:jc w:val="left"/>
              <w:rPr>
                <w:sz w:val="18"/>
                <w:szCs w:val="18"/>
                <w:lang w:val="en-GB"/>
              </w:rPr>
            </w:pPr>
            <w:r w:rsidRPr="003337C0">
              <w:rPr>
                <w:sz w:val="18"/>
                <w:szCs w:val="18"/>
                <w:lang w:val="en-GB"/>
              </w:rPr>
              <w:t>75 ± 27</w:t>
            </w:r>
          </w:p>
        </w:tc>
        <w:tc>
          <w:tcPr>
            <w:tcW w:w="1419" w:type="dxa"/>
            <w:tcBorders>
              <w:top w:val="nil"/>
              <w:bottom w:val="single" w:sz="4" w:space="0" w:color="auto"/>
            </w:tcBorders>
            <w:vAlign w:val="center"/>
          </w:tcPr>
          <w:p w14:paraId="0906610B" w14:textId="77777777" w:rsidR="00FA3112" w:rsidRPr="003337C0" w:rsidRDefault="00FA3112" w:rsidP="003337C0">
            <w:pPr>
              <w:spacing w:line="240" w:lineRule="auto"/>
              <w:jc w:val="left"/>
              <w:rPr>
                <w:sz w:val="18"/>
                <w:szCs w:val="18"/>
                <w:lang w:val="en-GB"/>
              </w:rPr>
            </w:pPr>
            <w:r w:rsidRPr="003337C0">
              <w:rPr>
                <w:sz w:val="18"/>
                <w:szCs w:val="18"/>
                <w:lang w:val="en-GB"/>
              </w:rPr>
              <w:t>79 ± 25</w:t>
            </w:r>
          </w:p>
        </w:tc>
      </w:tr>
      <w:tr w:rsidR="00FA3112" w:rsidRPr="003337C0" w14:paraId="4ECEEB36" w14:textId="77777777" w:rsidTr="00AC363A">
        <w:trPr>
          <w:trHeight w:val="164"/>
        </w:trPr>
        <w:tc>
          <w:tcPr>
            <w:tcW w:w="3969" w:type="dxa"/>
            <w:tcBorders>
              <w:bottom w:val="nil"/>
            </w:tcBorders>
            <w:shd w:val="clear" w:color="auto" w:fill="D9D9D9" w:themeFill="background1" w:themeFillShade="D9"/>
            <w:vAlign w:val="center"/>
          </w:tcPr>
          <w:p w14:paraId="3A8978DF"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versus conventional gasoline cars - 6 years lifetime</w:t>
            </w:r>
          </w:p>
        </w:tc>
        <w:tc>
          <w:tcPr>
            <w:tcW w:w="1276" w:type="dxa"/>
            <w:tcBorders>
              <w:bottom w:val="nil"/>
            </w:tcBorders>
            <w:shd w:val="clear" w:color="auto" w:fill="D9D9D9" w:themeFill="background1" w:themeFillShade="D9"/>
            <w:vAlign w:val="center"/>
          </w:tcPr>
          <w:p w14:paraId="46EEDD00"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bottom w:val="nil"/>
            </w:tcBorders>
            <w:shd w:val="clear" w:color="auto" w:fill="D9D9D9" w:themeFill="background1" w:themeFillShade="D9"/>
            <w:vAlign w:val="center"/>
          </w:tcPr>
          <w:p w14:paraId="54A1289C" w14:textId="77777777" w:rsidR="00FA3112" w:rsidRPr="003337C0" w:rsidRDefault="00FA3112" w:rsidP="003337C0">
            <w:pPr>
              <w:spacing w:line="240" w:lineRule="auto"/>
              <w:jc w:val="left"/>
              <w:rPr>
                <w:sz w:val="18"/>
                <w:szCs w:val="18"/>
                <w:lang w:val="en-GB"/>
              </w:rPr>
            </w:pPr>
            <w:r w:rsidRPr="003337C0">
              <w:rPr>
                <w:sz w:val="18"/>
                <w:szCs w:val="18"/>
                <w:lang w:val="en-GB"/>
              </w:rPr>
              <w:t>95</w:t>
            </w:r>
            <w:r w:rsidRPr="003337C0">
              <w:rPr>
                <w:sz w:val="18"/>
                <w:szCs w:val="18"/>
                <w:vertAlign w:val="superscript"/>
                <w:lang w:val="en-GB"/>
              </w:rPr>
              <w:t>a</w:t>
            </w:r>
          </w:p>
        </w:tc>
        <w:tc>
          <w:tcPr>
            <w:tcW w:w="1701" w:type="dxa"/>
            <w:gridSpan w:val="2"/>
            <w:tcBorders>
              <w:bottom w:val="nil"/>
            </w:tcBorders>
            <w:shd w:val="clear" w:color="auto" w:fill="D9D9D9" w:themeFill="background1" w:themeFillShade="D9"/>
            <w:vAlign w:val="center"/>
          </w:tcPr>
          <w:p w14:paraId="459FB9D2" w14:textId="77777777" w:rsidR="00FA3112" w:rsidRPr="003337C0" w:rsidRDefault="00FA3112" w:rsidP="003337C0">
            <w:pPr>
              <w:spacing w:line="240" w:lineRule="auto"/>
              <w:jc w:val="left"/>
              <w:rPr>
                <w:sz w:val="18"/>
                <w:szCs w:val="18"/>
                <w:lang w:val="en-GB"/>
              </w:rPr>
            </w:pPr>
            <w:r w:rsidRPr="003337C0">
              <w:rPr>
                <w:sz w:val="18"/>
                <w:szCs w:val="18"/>
                <w:lang w:val="en-GB"/>
              </w:rPr>
              <w:t>106 ± 1</w:t>
            </w:r>
          </w:p>
        </w:tc>
        <w:tc>
          <w:tcPr>
            <w:tcW w:w="1559" w:type="dxa"/>
            <w:tcBorders>
              <w:bottom w:val="nil"/>
            </w:tcBorders>
            <w:shd w:val="clear" w:color="auto" w:fill="D9D9D9" w:themeFill="background1" w:themeFillShade="D9"/>
            <w:vAlign w:val="center"/>
          </w:tcPr>
          <w:p w14:paraId="1BA87C44" w14:textId="77777777" w:rsidR="00FA3112" w:rsidRPr="003337C0" w:rsidRDefault="00FA3112" w:rsidP="003337C0">
            <w:pPr>
              <w:spacing w:line="240" w:lineRule="auto"/>
              <w:jc w:val="left"/>
              <w:rPr>
                <w:sz w:val="18"/>
                <w:szCs w:val="18"/>
                <w:lang w:val="en-GB"/>
              </w:rPr>
            </w:pPr>
            <w:r w:rsidRPr="003337C0">
              <w:rPr>
                <w:sz w:val="18"/>
                <w:szCs w:val="18"/>
                <w:lang w:val="en-GB"/>
              </w:rPr>
              <w:t>85 ± 33</w:t>
            </w:r>
          </w:p>
        </w:tc>
        <w:tc>
          <w:tcPr>
            <w:tcW w:w="1417" w:type="dxa"/>
            <w:tcBorders>
              <w:bottom w:val="nil"/>
            </w:tcBorders>
            <w:shd w:val="clear" w:color="auto" w:fill="D9D9D9" w:themeFill="background1" w:themeFillShade="D9"/>
            <w:vAlign w:val="center"/>
          </w:tcPr>
          <w:p w14:paraId="29B4016A" w14:textId="77777777" w:rsidR="00FA3112" w:rsidRPr="003337C0" w:rsidRDefault="00FA3112" w:rsidP="003337C0">
            <w:pPr>
              <w:spacing w:line="240" w:lineRule="auto"/>
              <w:jc w:val="left"/>
              <w:rPr>
                <w:sz w:val="18"/>
                <w:szCs w:val="18"/>
                <w:lang w:val="en-GB"/>
              </w:rPr>
            </w:pPr>
            <w:r w:rsidRPr="003337C0">
              <w:rPr>
                <w:sz w:val="18"/>
                <w:szCs w:val="18"/>
                <w:lang w:val="en-GB"/>
              </w:rPr>
              <w:t>38 ± 39</w:t>
            </w:r>
          </w:p>
        </w:tc>
        <w:tc>
          <w:tcPr>
            <w:tcW w:w="1276" w:type="dxa"/>
            <w:tcBorders>
              <w:bottom w:val="nil"/>
            </w:tcBorders>
            <w:shd w:val="clear" w:color="auto" w:fill="D9D9D9" w:themeFill="background1" w:themeFillShade="D9"/>
            <w:vAlign w:val="center"/>
          </w:tcPr>
          <w:p w14:paraId="79A708A2" w14:textId="77777777" w:rsidR="00FA3112" w:rsidRPr="003337C0" w:rsidRDefault="00FA3112" w:rsidP="003337C0">
            <w:pPr>
              <w:spacing w:line="240" w:lineRule="auto"/>
              <w:jc w:val="left"/>
              <w:rPr>
                <w:sz w:val="18"/>
                <w:szCs w:val="18"/>
                <w:lang w:val="en-GB"/>
              </w:rPr>
            </w:pPr>
            <w:r w:rsidRPr="003337C0">
              <w:rPr>
                <w:sz w:val="18"/>
                <w:szCs w:val="18"/>
                <w:lang w:val="en-GB"/>
              </w:rPr>
              <w:t>5 ± 9</w:t>
            </w:r>
          </w:p>
        </w:tc>
        <w:tc>
          <w:tcPr>
            <w:tcW w:w="1419" w:type="dxa"/>
            <w:tcBorders>
              <w:bottom w:val="nil"/>
            </w:tcBorders>
            <w:shd w:val="clear" w:color="auto" w:fill="D9D9D9" w:themeFill="background1" w:themeFillShade="D9"/>
            <w:vAlign w:val="center"/>
          </w:tcPr>
          <w:p w14:paraId="180339D9" w14:textId="77777777" w:rsidR="00FA3112" w:rsidRPr="003337C0" w:rsidRDefault="00FA3112" w:rsidP="003337C0">
            <w:pPr>
              <w:spacing w:line="240" w:lineRule="auto"/>
              <w:jc w:val="left"/>
              <w:rPr>
                <w:sz w:val="18"/>
                <w:szCs w:val="18"/>
                <w:lang w:val="en-GB"/>
              </w:rPr>
            </w:pPr>
            <w:r w:rsidRPr="003337C0">
              <w:rPr>
                <w:sz w:val="18"/>
                <w:szCs w:val="18"/>
                <w:lang w:val="en-GB"/>
              </w:rPr>
              <w:t>5 ± 8</w:t>
            </w:r>
          </w:p>
        </w:tc>
      </w:tr>
      <w:tr w:rsidR="00FA3112" w:rsidRPr="003337C0" w14:paraId="59BE7F17" w14:textId="77777777" w:rsidTr="00AC363A">
        <w:trPr>
          <w:trHeight w:val="164"/>
        </w:trPr>
        <w:tc>
          <w:tcPr>
            <w:tcW w:w="3969" w:type="dxa"/>
            <w:tcBorders>
              <w:top w:val="nil"/>
              <w:bottom w:val="single" w:sz="4" w:space="0" w:color="auto"/>
            </w:tcBorders>
            <w:shd w:val="clear" w:color="auto" w:fill="D9D9D9" w:themeFill="background1" w:themeFillShade="D9"/>
            <w:vAlign w:val="center"/>
          </w:tcPr>
          <w:p w14:paraId="732244FD" w14:textId="77777777" w:rsidR="00FA3112" w:rsidRPr="003337C0" w:rsidRDefault="00FA3112" w:rsidP="003337C0">
            <w:pPr>
              <w:spacing w:line="240" w:lineRule="auto"/>
              <w:jc w:val="left"/>
              <w:rPr>
                <w:sz w:val="18"/>
                <w:szCs w:val="18"/>
                <w:lang w:val="en-GB"/>
              </w:rPr>
            </w:pPr>
            <w:r w:rsidRPr="003337C0">
              <w:rPr>
                <w:sz w:val="18"/>
                <w:szCs w:val="18"/>
                <w:lang w:val="en-GB"/>
              </w:rPr>
              <w:t>Plug-in hybrid cars versus conventional gasoline cars - 11 years lifetime</w:t>
            </w:r>
          </w:p>
        </w:tc>
        <w:tc>
          <w:tcPr>
            <w:tcW w:w="1276" w:type="dxa"/>
            <w:tcBorders>
              <w:top w:val="nil"/>
              <w:bottom w:val="single" w:sz="4" w:space="0" w:color="auto"/>
            </w:tcBorders>
            <w:shd w:val="clear" w:color="auto" w:fill="D9D9D9" w:themeFill="background1" w:themeFillShade="D9"/>
            <w:vAlign w:val="center"/>
          </w:tcPr>
          <w:p w14:paraId="04BD9DF7"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top w:val="nil"/>
              <w:bottom w:val="single" w:sz="4" w:space="0" w:color="auto"/>
            </w:tcBorders>
            <w:shd w:val="clear" w:color="auto" w:fill="D9D9D9" w:themeFill="background1" w:themeFillShade="D9"/>
            <w:vAlign w:val="center"/>
          </w:tcPr>
          <w:p w14:paraId="7961D08A" w14:textId="77777777" w:rsidR="00FA3112" w:rsidRPr="003337C0" w:rsidRDefault="00FA3112" w:rsidP="003337C0">
            <w:pPr>
              <w:spacing w:line="240" w:lineRule="auto"/>
              <w:jc w:val="left"/>
              <w:rPr>
                <w:sz w:val="18"/>
                <w:szCs w:val="18"/>
                <w:lang w:val="en-GB"/>
              </w:rPr>
            </w:pPr>
            <w:r w:rsidRPr="003337C0">
              <w:rPr>
                <w:sz w:val="18"/>
                <w:szCs w:val="18"/>
                <w:lang w:val="en-GB"/>
              </w:rPr>
              <w:t>41</w:t>
            </w:r>
            <w:r w:rsidRPr="003337C0">
              <w:rPr>
                <w:sz w:val="18"/>
                <w:szCs w:val="18"/>
                <w:vertAlign w:val="superscript"/>
                <w:lang w:val="en-GB"/>
              </w:rPr>
              <w:t>a</w:t>
            </w:r>
          </w:p>
        </w:tc>
        <w:tc>
          <w:tcPr>
            <w:tcW w:w="1701" w:type="dxa"/>
            <w:gridSpan w:val="2"/>
            <w:tcBorders>
              <w:top w:val="nil"/>
              <w:bottom w:val="single" w:sz="4" w:space="0" w:color="auto"/>
            </w:tcBorders>
            <w:shd w:val="clear" w:color="auto" w:fill="D9D9D9" w:themeFill="background1" w:themeFillShade="D9"/>
            <w:vAlign w:val="center"/>
          </w:tcPr>
          <w:p w14:paraId="388A26BC" w14:textId="77777777" w:rsidR="00FA3112" w:rsidRPr="003337C0" w:rsidRDefault="00FA3112" w:rsidP="003337C0">
            <w:pPr>
              <w:spacing w:line="240" w:lineRule="auto"/>
              <w:jc w:val="left"/>
              <w:rPr>
                <w:sz w:val="18"/>
                <w:szCs w:val="18"/>
                <w:lang w:val="en-GB"/>
              </w:rPr>
            </w:pPr>
            <w:r w:rsidRPr="003337C0">
              <w:rPr>
                <w:sz w:val="18"/>
                <w:szCs w:val="18"/>
                <w:lang w:val="en-GB"/>
              </w:rPr>
              <w:t>52 ± 2</w:t>
            </w:r>
          </w:p>
        </w:tc>
        <w:tc>
          <w:tcPr>
            <w:tcW w:w="1559" w:type="dxa"/>
            <w:tcBorders>
              <w:top w:val="nil"/>
              <w:bottom w:val="single" w:sz="4" w:space="0" w:color="auto"/>
            </w:tcBorders>
            <w:shd w:val="clear" w:color="auto" w:fill="D9D9D9" w:themeFill="background1" w:themeFillShade="D9"/>
            <w:vAlign w:val="center"/>
          </w:tcPr>
          <w:p w14:paraId="26FCC3A7" w14:textId="77777777" w:rsidR="00FA3112" w:rsidRPr="003337C0" w:rsidRDefault="00FA3112" w:rsidP="003337C0">
            <w:pPr>
              <w:spacing w:line="240" w:lineRule="auto"/>
              <w:jc w:val="left"/>
              <w:rPr>
                <w:sz w:val="18"/>
                <w:szCs w:val="18"/>
                <w:lang w:val="en-GB"/>
              </w:rPr>
            </w:pPr>
            <w:r w:rsidRPr="003337C0">
              <w:rPr>
                <w:sz w:val="18"/>
                <w:szCs w:val="18"/>
                <w:lang w:val="en-GB"/>
              </w:rPr>
              <w:t>40 ± 23</w:t>
            </w:r>
          </w:p>
        </w:tc>
        <w:tc>
          <w:tcPr>
            <w:tcW w:w="1417" w:type="dxa"/>
            <w:tcBorders>
              <w:top w:val="nil"/>
              <w:bottom w:val="single" w:sz="4" w:space="0" w:color="auto"/>
            </w:tcBorders>
            <w:shd w:val="clear" w:color="auto" w:fill="D9D9D9" w:themeFill="background1" w:themeFillShade="D9"/>
            <w:vAlign w:val="center"/>
          </w:tcPr>
          <w:p w14:paraId="49EAB0D7" w14:textId="77777777" w:rsidR="00FA3112" w:rsidRPr="003337C0" w:rsidRDefault="00FA3112" w:rsidP="003337C0">
            <w:pPr>
              <w:spacing w:line="240" w:lineRule="auto"/>
              <w:jc w:val="left"/>
              <w:rPr>
                <w:sz w:val="18"/>
                <w:szCs w:val="18"/>
                <w:lang w:val="en-GB"/>
              </w:rPr>
            </w:pPr>
            <w:r w:rsidRPr="003337C0">
              <w:rPr>
                <w:sz w:val="18"/>
                <w:szCs w:val="18"/>
                <w:lang w:val="en-GB"/>
              </w:rPr>
              <w:t>15 ± 25</w:t>
            </w:r>
          </w:p>
        </w:tc>
        <w:tc>
          <w:tcPr>
            <w:tcW w:w="1276" w:type="dxa"/>
            <w:tcBorders>
              <w:top w:val="nil"/>
              <w:bottom w:val="single" w:sz="4" w:space="0" w:color="auto"/>
            </w:tcBorders>
            <w:shd w:val="clear" w:color="auto" w:fill="D9D9D9" w:themeFill="background1" w:themeFillShade="D9"/>
            <w:vAlign w:val="center"/>
          </w:tcPr>
          <w:p w14:paraId="4B8EF368" w14:textId="77777777" w:rsidR="00FA3112" w:rsidRPr="003337C0" w:rsidRDefault="00FA3112" w:rsidP="003337C0">
            <w:pPr>
              <w:spacing w:line="240" w:lineRule="auto"/>
              <w:jc w:val="left"/>
              <w:rPr>
                <w:sz w:val="18"/>
                <w:szCs w:val="18"/>
                <w:lang w:val="en-GB"/>
              </w:rPr>
            </w:pPr>
            <w:r w:rsidRPr="003337C0">
              <w:rPr>
                <w:sz w:val="18"/>
                <w:szCs w:val="18"/>
                <w:lang w:val="en-GB"/>
              </w:rPr>
              <w:t>1.5 ± 5.3</w:t>
            </w:r>
          </w:p>
        </w:tc>
        <w:tc>
          <w:tcPr>
            <w:tcW w:w="1419" w:type="dxa"/>
            <w:tcBorders>
              <w:top w:val="nil"/>
              <w:bottom w:val="single" w:sz="4" w:space="0" w:color="auto"/>
            </w:tcBorders>
            <w:shd w:val="clear" w:color="auto" w:fill="D9D9D9" w:themeFill="background1" w:themeFillShade="D9"/>
            <w:vAlign w:val="center"/>
          </w:tcPr>
          <w:p w14:paraId="461CCBAD" w14:textId="77777777" w:rsidR="00FA3112" w:rsidRPr="003337C0" w:rsidRDefault="00FA3112" w:rsidP="003337C0">
            <w:pPr>
              <w:spacing w:line="240" w:lineRule="auto"/>
              <w:jc w:val="left"/>
              <w:rPr>
                <w:sz w:val="18"/>
                <w:szCs w:val="18"/>
                <w:lang w:val="en-GB"/>
              </w:rPr>
            </w:pPr>
            <w:r w:rsidRPr="003337C0">
              <w:rPr>
                <w:sz w:val="18"/>
                <w:szCs w:val="18"/>
                <w:lang w:val="en-GB"/>
              </w:rPr>
              <w:t>1.5 ± 4.9</w:t>
            </w:r>
          </w:p>
        </w:tc>
      </w:tr>
      <w:tr w:rsidR="00FA3112" w:rsidRPr="003337C0" w14:paraId="06974469" w14:textId="77777777" w:rsidTr="00AC363A">
        <w:trPr>
          <w:trHeight w:val="164"/>
        </w:trPr>
        <w:tc>
          <w:tcPr>
            <w:tcW w:w="3969" w:type="dxa"/>
            <w:tcBorders>
              <w:bottom w:val="nil"/>
            </w:tcBorders>
            <w:shd w:val="clear" w:color="auto" w:fill="D9D9D9" w:themeFill="background1" w:themeFillShade="D9"/>
            <w:vAlign w:val="center"/>
          </w:tcPr>
          <w:p w14:paraId="3B3A0DAF" w14:textId="5629471B" w:rsidR="00FA3112" w:rsidRPr="003337C0" w:rsidRDefault="00FA3112" w:rsidP="003337C0">
            <w:pPr>
              <w:spacing w:line="240" w:lineRule="auto"/>
              <w:jc w:val="left"/>
              <w:rPr>
                <w:sz w:val="18"/>
                <w:szCs w:val="18"/>
                <w:lang w:val="en-GB"/>
              </w:rPr>
            </w:pPr>
            <w:r w:rsidRPr="003337C0">
              <w:rPr>
                <w:sz w:val="18"/>
                <w:szCs w:val="18"/>
                <w:lang w:val="en-GB"/>
              </w:rPr>
              <w:t>Plug-in hybrid cars ve</w:t>
            </w:r>
            <w:r w:rsidR="006C07E8">
              <w:rPr>
                <w:sz w:val="18"/>
                <w:szCs w:val="18"/>
                <w:lang w:val="en-GB"/>
              </w:rPr>
              <w:t xml:space="preserve">rsus conventional diesel cars - </w:t>
            </w:r>
            <w:r w:rsidRPr="003337C0">
              <w:rPr>
                <w:sz w:val="18"/>
                <w:szCs w:val="18"/>
                <w:lang w:val="en-GB"/>
              </w:rPr>
              <w:t>6 years lifetime</w:t>
            </w:r>
          </w:p>
        </w:tc>
        <w:tc>
          <w:tcPr>
            <w:tcW w:w="1276" w:type="dxa"/>
            <w:tcBorders>
              <w:bottom w:val="nil"/>
            </w:tcBorders>
            <w:shd w:val="clear" w:color="auto" w:fill="D9D9D9" w:themeFill="background1" w:themeFillShade="D9"/>
            <w:vAlign w:val="center"/>
          </w:tcPr>
          <w:p w14:paraId="3D2BC645"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bottom w:val="nil"/>
            </w:tcBorders>
            <w:shd w:val="clear" w:color="auto" w:fill="D9D9D9" w:themeFill="background1" w:themeFillShade="D9"/>
            <w:vAlign w:val="center"/>
          </w:tcPr>
          <w:p w14:paraId="53621AC9" w14:textId="77777777" w:rsidR="00FA3112" w:rsidRPr="003337C0" w:rsidRDefault="00FA3112" w:rsidP="003337C0">
            <w:pPr>
              <w:spacing w:line="240" w:lineRule="auto"/>
              <w:jc w:val="left"/>
              <w:rPr>
                <w:sz w:val="18"/>
                <w:szCs w:val="18"/>
                <w:lang w:val="en-GB"/>
              </w:rPr>
            </w:pPr>
            <w:r w:rsidRPr="003337C0">
              <w:rPr>
                <w:sz w:val="18"/>
                <w:szCs w:val="18"/>
                <w:lang w:val="en-GB"/>
              </w:rPr>
              <w:t>-48</w:t>
            </w:r>
            <w:r w:rsidRPr="003337C0">
              <w:rPr>
                <w:sz w:val="18"/>
                <w:szCs w:val="18"/>
                <w:vertAlign w:val="superscript"/>
                <w:lang w:val="en-GB"/>
              </w:rPr>
              <w:t>a</w:t>
            </w:r>
          </w:p>
        </w:tc>
        <w:tc>
          <w:tcPr>
            <w:tcW w:w="1701" w:type="dxa"/>
            <w:gridSpan w:val="2"/>
            <w:tcBorders>
              <w:bottom w:val="nil"/>
            </w:tcBorders>
            <w:shd w:val="clear" w:color="auto" w:fill="D9D9D9" w:themeFill="background1" w:themeFillShade="D9"/>
            <w:vAlign w:val="center"/>
          </w:tcPr>
          <w:p w14:paraId="75AA6310" w14:textId="77777777" w:rsidR="00FA3112" w:rsidRPr="003337C0" w:rsidRDefault="00FA3112" w:rsidP="003337C0">
            <w:pPr>
              <w:spacing w:line="240" w:lineRule="auto"/>
              <w:jc w:val="left"/>
              <w:rPr>
                <w:sz w:val="18"/>
                <w:szCs w:val="18"/>
                <w:lang w:val="en-GB"/>
              </w:rPr>
            </w:pPr>
            <w:r w:rsidRPr="003337C0">
              <w:rPr>
                <w:sz w:val="18"/>
                <w:szCs w:val="18"/>
                <w:lang w:val="en-GB"/>
              </w:rPr>
              <w:t>-52.9 ± 0.3</w:t>
            </w:r>
          </w:p>
        </w:tc>
        <w:tc>
          <w:tcPr>
            <w:tcW w:w="1559" w:type="dxa"/>
            <w:tcBorders>
              <w:bottom w:val="nil"/>
            </w:tcBorders>
            <w:shd w:val="clear" w:color="auto" w:fill="D9D9D9" w:themeFill="background1" w:themeFillShade="D9"/>
            <w:vAlign w:val="center"/>
          </w:tcPr>
          <w:p w14:paraId="24A7590C" w14:textId="77777777" w:rsidR="00FA3112" w:rsidRPr="003337C0" w:rsidRDefault="00FA3112" w:rsidP="003337C0">
            <w:pPr>
              <w:spacing w:line="240" w:lineRule="auto"/>
              <w:jc w:val="left"/>
              <w:rPr>
                <w:sz w:val="18"/>
                <w:szCs w:val="18"/>
                <w:lang w:val="en-GB"/>
              </w:rPr>
            </w:pPr>
            <w:r w:rsidRPr="003337C0">
              <w:rPr>
                <w:sz w:val="18"/>
                <w:szCs w:val="18"/>
                <w:lang w:val="en-GB"/>
              </w:rPr>
              <w:t>-43 ± 17</w:t>
            </w:r>
          </w:p>
        </w:tc>
        <w:tc>
          <w:tcPr>
            <w:tcW w:w="1417" w:type="dxa"/>
            <w:tcBorders>
              <w:bottom w:val="nil"/>
            </w:tcBorders>
            <w:shd w:val="clear" w:color="auto" w:fill="D9D9D9" w:themeFill="background1" w:themeFillShade="D9"/>
            <w:vAlign w:val="center"/>
          </w:tcPr>
          <w:p w14:paraId="430FDAFB" w14:textId="77777777" w:rsidR="00FA3112" w:rsidRPr="003337C0" w:rsidRDefault="00FA3112" w:rsidP="003337C0">
            <w:pPr>
              <w:spacing w:line="240" w:lineRule="auto"/>
              <w:jc w:val="left"/>
              <w:rPr>
                <w:sz w:val="18"/>
                <w:szCs w:val="18"/>
                <w:lang w:val="en-GB"/>
              </w:rPr>
            </w:pPr>
            <w:r w:rsidRPr="003337C0">
              <w:rPr>
                <w:sz w:val="18"/>
                <w:szCs w:val="18"/>
                <w:lang w:val="en-GB"/>
              </w:rPr>
              <w:t>-19 ± 19</w:t>
            </w:r>
          </w:p>
        </w:tc>
        <w:tc>
          <w:tcPr>
            <w:tcW w:w="1276" w:type="dxa"/>
            <w:tcBorders>
              <w:bottom w:val="nil"/>
            </w:tcBorders>
            <w:shd w:val="clear" w:color="auto" w:fill="D9D9D9" w:themeFill="background1" w:themeFillShade="D9"/>
            <w:vAlign w:val="center"/>
          </w:tcPr>
          <w:p w14:paraId="52509CCF" w14:textId="77777777" w:rsidR="00FA3112" w:rsidRPr="003337C0" w:rsidRDefault="00FA3112" w:rsidP="003337C0">
            <w:pPr>
              <w:spacing w:line="240" w:lineRule="auto"/>
              <w:jc w:val="left"/>
              <w:rPr>
                <w:sz w:val="18"/>
                <w:szCs w:val="18"/>
                <w:lang w:val="en-GB"/>
              </w:rPr>
            </w:pPr>
            <w:r w:rsidRPr="003337C0">
              <w:rPr>
                <w:sz w:val="18"/>
                <w:szCs w:val="18"/>
                <w:lang w:val="en-GB"/>
              </w:rPr>
              <w:t>-13 ± 22</w:t>
            </w:r>
          </w:p>
        </w:tc>
        <w:tc>
          <w:tcPr>
            <w:tcW w:w="1419" w:type="dxa"/>
            <w:tcBorders>
              <w:bottom w:val="nil"/>
            </w:tcBorders>
            <w:shd w:val="clear" w:color="auto" w:fill="D9D9D9" w:themeFill="background1" w:themeFillShade="D9"/>
            <w:vAlign w:val="center"/>
          </w:tcPr>
          <w:p w14:paraId="799C91EE" w14:textId="77777777" w:rsidR="00FA3112" w:rsidRPr="003337C0" w:rsidRDefault="00FA3112" w:rsidP="003337C0">
            <w:pPr>
              <w:spacing w:line="240" w:lineRule="auto"/>
              <w:jc w:val="left"/>
              <w:rPr>
                <w:sz w:val="18"/>
                <w:szCs w:val="18"/>
                <w:lang w:val="en-GB"/>
              </w:rPr>
            </w:pPr>
            <w:r w:rsidRPr="003337C0">
              <w:rPr>
                <w:sz w:val="18"/>
                <w:szCs w:val="18"/>
                <w:lang w:val="en-GB"/>
              </w:rPr>
              <w:t>-13 ± 19</w:t>
            </w:r>
          </w:p>
        </w:tc>
      </w:tr>
      <w:tr w:rsidR="00FA3112" w:rsidRPr="003337C0" w14:paraId="77F11A5A" w14:textId="77777777" w:rsidTr="00AC363A">
        <w:trPr>
          <w:trHeight w:val="164"/>
        </w:trPr>
        <w:tc>
          <w:tcPr>
            <w:tcW w:w="3969" w:type="dxa"/>
            <w:tcBorders>
              <w:top w:val="nil"/>
            </w:tcBorders>
            <w:shd w:val="clear" w:color="auto" w:fill="D9D9D9" w:themeFill="background1" w:themeFillShade="D9"/>
            <w:vAlign w:val="center"/>
          </w:tcPr>
          <w:p w14:paraId="43869573" w14:textId="0E233BC9" w:rsidR="00FA3112" w:rsidRPr="003337C0" w:rsidRDefault="00FA3112" w:rsidP="003337C0">
            <w:pPr>
              <w:spacing w:line="240" w:lineRule="auto"/>
              <w:jc w:val="left"/>
              <w:rPr>
                <w:sz w:val="18"/>
                <w:szCs w:val="18"/>
                <w:lang w:val="en-GB"/>
              </w:rPr>
            </w:pPr>
            <w:r w:rsidRPr="003337C0">
              <w:rPr>
                <w:sz w:val="18"/>
                <w:szCs w:val="18"/>
                <w:lang w:val="en-GB"/>
              </w:rPr>
              <w:t xml:space="preserve">Plug-in hybrid cars versus conventional diesel </w:t>
            </w:r>
            <w:r w:rsidR="006C07E8">
              <w:rPr>
                <w:sz w:val="18"/>
                <w:szCs w:val="18"/>
                <w:lang w:val="en-GB"/>
              </w:rPr>
              <w:t xml:space="preserve">cars - </w:t>
            </w:r>
            <w:r w:rsidRPr="003337C0">
              <w:rPr>
                <w:sz w:val="18"/>
                <w:szCs w:val="18"/>
                <w:lang w:val="en-GB"/>
              </w:rPr>
              <w:t>11 years lifetime</w:t>
            </w:r>
          </w:p>
        </w:tc>
        <w:tc>
          <w:tcPr>
            <w:tcW w:w="1276" w:type="dxa"/>
            <w:tcBorders>
              <w:top w:val="nil"/>
            </w:tcBorders>
            <w:shd w:val="clear" w:color="auto" w:fill="D9D9D9" w:themeFill="background1" w:themeFillShade="D9"/>
            <w:vAlign w:val="center"/>
          </w:tcPr>
          <w:p w14:paraId="1D203DD0" w14:textId="77777777" w:rsidR="00FA3112" w:rsidRPr="003337C0" w:rsidRDefault="00FA3112" w:rsidP="003337C0">
            <w:pPr>
              <w:spacing w:line="240" w:lineRule="auto"/>
              <w:jc w:val="left"/>
              <w:rPr>
                <w:sz w:val="18"/>
                <w:szCs w:val="18"/>
                <w:lang w:val="en-GB"/>
              </w:rPr>
            </w:pPr>
            <w:r w:rsidRPr="003337C0">
              <w:rPr>
                <w:sz w:val="18"/>
                <w:szCs w:val="18"/>
                <w:lang w:val="en-GB"/>
              </w:rPr>
              <w:t>-</w:t>
            </w:r>
          </w:p>
        </w:tc>
        <w:tc>
          <w:tcPr>
            <w:tcW w:w="1418" w:type="dxa"/>
            <w:gridSpan w:val="2"/>
            <w:tcBorders>
              <w:top w:val="nil"/>
            </w:tcBorders>
            <w:shd w:val="clear" w:color="auto" w:fill="D9D9D9" w:themeFill="background1" w:themeFillShade="D9"/>
            <w:vAlign w:val="center"/>
          </w:tcPr>
          <w:p w14:paraId="78F010A7" w14:textId="77777777" w:rsidR="00FA3112" w:rsidRPr="003337C0" w:rsidRDefault="00FA3112" w:rsidP="003337C0">
            <w:pPr>
              <w:spacing w:line="240" w:lineRule="auto"/>
              <w:jc w:val="left"/>
              <w:rPr>
                <w:sz w:val="18"/>
                <w:szCs w:val="18"/>
                <w:lang w:val="en-GB"/>
              </w:rPr>
            </w:pPr>
            <w:r w:rsidRPr="003337C0">
              <w:rPr>
                <w:sz w:val="18"/>
                <w:szCs w:val="18"/>
                <w:lang w:val="en-GB"/>
              </w:rPr>
              <w:t>-21</w:t>
            </w:r>
            <w:r w:rsidRPr="003337C0">
              <w:rPr>
                <w:sz w:val="18"/>
                <w:szCs w:val="18"/>
                <w:vertAlign w:val="superscript"/>
                <w:lang w:val="en-GB"/>
              </w:rPr>
              <w:t>a</w:t>
            </w:r>
          </w:p>
        </w:tc>
        <w:tc>
          <w:tcPr>
            <w:tcW w:w="1701" w:type="dxa"/>
            <w:gridSpan w:val="2"/>
            <w:tcBorders>
              <w:top w:val="nil"/>
            </w:tcBorders>
            <w:shd w:val="clear" w:color="auto" w:fill="D9D9D9" w:themeFill="background1" w:themeFillShade="D9"/>
            <w:vAlign w:val="center"/>
          </w:tcPr>
          <w:p w14:paraId="2CBBCA6F" w14:textId="77777777" w:rsidR="00FA3112" w:rsidRPr="003337C0" w:rsidRDefault="00FA3112" w:rsidP="003337C0">
            <w:pPr>
              <w:spacing w:line="240" w:lineRule="auto"/>
              <w:jc w:val="left"/>
              <w:rPr>
                <w:sz w:val="18"/>
                <w:szCs w:val="18"/>
                <w:lang w:val="en-GB"/>
              </w:rPr>
            </w:pPr>
            <w:r w:rsidRPr="003337C0">
              <w:rPr>
                <w:sz w:val="18"/>
                <w:szCs w:val="18"/>
                <w:lang w:val="en-GB"/>
              </w:rPr>
              <w:t>-26 ± 1</w:t>
            </w:r>
          </w:p>
        </w:tc>
        <w:tc>
          <w:tcPr>
            <w:tcW w:w="1559" w:type="dxa"/>
            <w:tcBorders>
              <w:top w:val="nil"/>
            </w:tcBorders>
            <w:shd w:val="clear" w:color="auto" w:fill="D9D9D9" w:themeFill="background1" w:themeFillShade="D9"/>
            <w:vAlign w:val="center"/>
          </w:tcPr>
          <w:p w14:paraId="3B51D03A" w14:textId="77777777" w:rsidR="00FA3112" w:rsidRPr="003337C0" w:rsidRDefault="00FA3112" w:rsidP="003337C0">
            <w:pPr>
              <w:spacing w:line="240" w:lineRule="auto"/>
              <w:jc w:val="left"/>
              <w:rPr>
                <w:sz w:val="18"/>
                <w:szCs w:val="18"/>
                <w:lang w:val="en-GB"/>
              </w:rPr>
            </w:pPr>
            <w:r w:rsidRPr="003337C0">
              <w:rPr>
                <w:sz w:val="18"/>
                <w:szCs w:val="18"/>
                <w:lang w:val="en-GB"/>
              </w:rPr>
              <w:t>-20 ± 12</w:t>
            </w:r>
          </w:p>
        </w:tc>
        <w:tc>
          <w:tcPr>
            <w:tcW w:w="1417" w:type="dxa"/>
            <w:tcBorders>
              <w:top w:val="nil"/>
            </w:tcBorders>
            <w:shd w:val="clear" w:color="auto" w:fill="D9D9D9" w:themeFill="background1" w:themeFillShade="D9"/>
            <w:vAlign w:val="center"/>
          </w:tcPr>
          <w:p w14:paraId="4CAE1AFC" w14:textId="77777777" w:rsidR="00FA3112" w:rsidRPr="003337C0" w:rsidRDefault="00FA3112" w:rsidP="003337C0">
            <w:pPr>
              <w:spacing w:line="240" w:lineRule="auto"/>
              <w:jc w:val="left"/>
              <w:rPr>
                <w:sz w:val="18"/>
                <w:szCs w:val="18"/>
                <w:lang w:val="en-GB"/>
              </w:rPr>
            </w:pPr>
            <w:r w:rsidRPr="003337C0">
              <w:rPr>
                <w:sz w:val="18"/>
                <w:szCs w:val="18"/>
                <w:lang w:val="en-GB"/>
              </w:rPr>
              <w:t>-7 ± 13</w:t>
            </w:r>
          </w:p>
        </w:tc>
        <w:tc>
          <w:tcPr>
            <w:tcW w:w="1276" w:type="dxa"/>
            <w:tcBorders>
              <w:top w:val="nil"/>
            </w:tcBorders>
            <w:shd w:val="clear" w:color="auto" w:fill="D9D9D9" w:themeFill="background1" w:themeFillShade="D9"/>
            <w:vAlign w:val="center"/>
          </w:tcPr>
          <w:p w14:paraId="4E4E0E30" w14:textId="77777777" w:rsidR="00FA3112" w:rsidRPr="003337C0" w:rsidRDefault="00FA3112" w:rsidP="003337C0">
            <w:pPr>
              <w:spacing w:line="240" w:lineRule="auto"/>
              <w:jc w:val="left"/>
              <w:rPr>
                <w:sz w:val="18"/>
                <w:szCs w:val="18"/>
                <w:lang w:val="en-GB"/>
              </w:rPr>
            </w:pPr>
            <w:r w:rsidRPr="003337C0">
              <w:rPr>
                <w:sz w:val="18"/>
                <w:szCs w:val="18"/>
                <w:lang w:val="en-GB"/>
              </w:rPr>
              <w:t>-4 ± 13</w:t>
            </w:r>
          </w:p>
        </w:tc>
        <w:tc>
          <w:tcPr>
            <w:tcW w:w="1419" w:type="dxa"/>
            <w:tcBorders>
              <w:top w:val="nil"/>
            </w:tcBorders>
            <w:shd w:val="clear" w:color="auto" w:fill="D9D9D9" w:themeFill="background1" w:themeFillShade="D9"/>
            <w:vAlign w:val="center"/>
          </w:tcPr>
          <w:p w14:paraId="23831CB5" w14:textId="77777777" w:rsidR="00FA3112" w:rsidRPr="003337C0" w:rsidRDefault="00FA3112" w:rsidP="003337C0">
            <w:pPr>
              <w:spacing w:line="240" w:lineRule="auto"/>
              <w:jc w:val="left"/>
              <w:rPr>
                <w:sz w:val="18"/>
                <w:szCs w:val="18"/>
                <w:lang w:val="en-GB"/>
              </w:rPr>
            </w:pPr>
            <w:r w:rsidRPr="003337C0">
              <w:rPr>
                <w:sz w:val="18"/>
                <w:szCs w:val="18"/>
                <w:lang w:val="en-GB"/>
              </w:rPr>
              <w:t>-4 ± 12</w:t>
            </w:r>
          </w:p>
        </w:tc>
      </w:tr>
    </w:tbl>
    <w:p w14:paraId="778CDD49" w14:textId="77777777" w:rsidR="00FA3112" w:rsidRPr="001A7F4C" w:rsidRDefault="00FA3112" w:rsidP="00FA3112">
      <w:pPr>
        <w:spacing w:after="0" w:line="240" w:lineRule="auto"/>
        <w:rPr>
          <w:sz w:val="20"/>
          <w:szCs w:val="20"/>
          <w:lang w:val="en-US"/>
        </w:rPr>
      </w:pPr>
      <w:r>
        <w:rPr>
          <w:sz w:val="20"/>
          <w:szCs w:val="20"/>
          <w:lang w:val="en-US"/>
        </w:rPr>
        <w:t>- no data avai</w:t>
      </w:r>
      <w:r w:rsidRPr="001A7F4C">
        <w:rPr>
          <w:sz w:val="20"/>
          <w:szCs w:val="20"/>
          <w:lang w:val="en-US"/>
        </w:rPr>
        <w:t>l</w:t>
      </w:r>
      <w:r>
        <w:rPr>
          <w:sz w:val="20"/>
          <w:szCs w:val="20"/>
          <w:lang w:val="en-US"/>
        </w:rPr>
        <w:t>a</w:t>
      </w:r>
      <w:r w:rsidRPr="001A7F4C">
        <w:rPr>
          <w:sz w:val="20"/>
          <w:szCs w:val="20"/>
          <w:lang w:val="en-US"/>
        </w:rPr>
        <w:t>ble</w:t>
      </w:r>
    </w:p>
    <w:p w14:paraId="655D8D01" w14:textId="33CFFABA" w:rsidR="00B5043A" w:rsidRDefault="00FA3112" w:rsidP="00FA3112">
      <w:pPr>
        <w:spacing w:after="0" w:line="240" w:lineRule="auto"/>
        <w:rPr>
          <w:sz w:val="20"/>
          <w:szCs w:val="20"/>
          <w:lang w:val="en-US"/>
        </w:rPr>
      </w:pPr>
      <w:proofErr w:type="spellStart"/>
      <w:r w:rsidRPr="004E2F81">
        <w:rPr>
          <w:sz w:val="20"/>
          <w:szCs w:val="20"/>
          <w:vertAlign w:val="superscript"/>
          <w:lang w:val="en-US"/>
        </w:rPr>
        <w:t>a</w:t>
      </w:r>
      <w:r w:rsidRPr="004E2F81">
        <w:rPr>
          <w:sz w:val="20"/>
          <w:szCs w:val="20"/>
          <w:lang w:val="en-US"/>
        </w:rPr>
        <w:t>only</w:t>
      </w:r>
      <w:proofErr w:type="spellEnd"/>
      <w:r w:rsidRPr="004E2F81">
        <w:rPr>
          <w:sz w:val="20"/>
          <w:szCs w:val="20"/>
          <w:lang w:val="en-US"/>
        </w:rPr>
        <w:t xml:space="preserve"> one data point available</w:t>
      </w:r>
    </w:p>
    <w:p w14:paraId="4CD26EDC" w14:textId="77777777" w:rsidR="007C5909" w:rsidRDefault="007C5909" w:rsidP="00FA3112">
      <w:pPr>
        <w:spacing w:after="0" w:line="240" w:lineRule="auto"/>
        <w:rPr>
          <w:sz w:val="20"/>
          <w:szCs w:val="20"/>
          <w:lang w:val="en-US"/>
        </w:rPr>
      </w:pPr>
    </w:p>
    <w:p w14:paraId="646BC336" w14:textId="77777777" w:rsidR="008075F4" w:rsidRDefault="008075F4" w:rsidP="00FA3112">
      <w:pPr>
        <w:spacing w:after="0" w:line="240" w:lineRule="auto"/>
        <w:rPr>
          <w:sz w:val="20"/>
          <w:szCs w:val="20"/>
          <w:lang w:val="en-US"/>
        </w:rPr>
        <w:sectPr w:rsidR="008075F4" w:rsidSect="00284AA5">
          <w:footnotePr>
            <w:numStart w:val="4"/>
          </w:footnotePr>
          <w:pgSz w:w="16838" w:h="11906" w:orient="landscape"/>
          <w:pgMar w:top="1417" w:right="1417" w:bottom="1417" w:left="1134" w:header="708" w:footer="708" w:gutter="0"/>
          <w:cols w:space="708"/>
          <w:docGrid w:linePitch="360"/>
        </w:sectPr>
      </w:pPr>
    </w:p>
    <w:p w14:paraId="7E1C25D1" w14:textId="2C07B877" w:rsidR="009E7684" w:rsidRPr="00415BC9" w:rsidRDefault="008075F4" w:rsidP="00415BC9">
      <w:pPr>
        <w:spacing w:after="0"/>
        <w:ind w:left="1410" w:hanging="1410"/>
        <w:rPr>
          <w:szCs w:val="24"/>
          <w:lang w:val="en-US"/>
        </w:rPr>
      </w:pPr>
      <w:r w:rsidRPr="008075F4">
        <w:rPr>
          <w:szCs w:val="24"/>
          <w:lang w:val="en-US"/>
        </w:rPr>
        <w:lastRenderedPageBreak/>
        <w:t>Table S9:</w:t>
      </w:r>
      <w:bookmarkStart w:id="1" w:name="_Toc484485396"/>
      <w:bookmarkStart w:id="2" w:name="_Toc485435722"/>
      <w:r w:rsidR="00415BC9">
        <w:rPr>
          <w:szCs w:val="24"/>
          <w:lang w:val="en-US"/>
        </w:rPr>
        <w:tab/>
      </w:r>
      <w:r w:rsidR="009E7684" w:rsidRPr="00415BC9">
        <w:rPr>
          <w:szCs w:val="24"/>
          <w:lang w:val="en-US"/>
        </w:rPr>
        <w:t>Data sources and assumptions used for estimating the costs of mitigating NO</w:t>
      </w:r>
      <w:r w:rsidR="009E7684" w:rsidRPr="00415BC9">
        <w:rPr>
          <w:szCs w:val="24"/>
          <w:vertAlign w:val="subscript"/>
          <w:lang w:val="en-US"/>
        </w:rPr>
        <w:t>X</w:t>
      </w:r>
      <w:r w:rsidR="009E7684" w:rsidRPr="00415BC9">
        <w:rPr>
          <w:szCs w:val="24"/>
          <w:lang w:val="en-US"/>
        </w:rPr>
        <w:t xml:space="preserve"> emissions of road vehicles and the manufacturing industry; data</w:t>
      </w:r>
      <w:r w:rsidR="00415BC9">
        <w:rPr>
          <w:szCs w:val="24"/>
          <w:lang w:val="en-US"/>
        </w:rPr>
        <w:t xml:space="preserve"> represent </w:t>
      </w:r>
      <w:r w:rsidR="00E41A20">
        <w:rPr>
          <w:szCs w:val="24"/>
          <w:lang w:val="en-US"/>
        </w:rPr>
        <w:t>estimates that indicate general</w:t>
      </w:r>
      <w:r w:rsidR="00415BC9">
        <w:rPr>
          <w:szCs w:val="24"/>
          <w:lang w:val="en-US"/>
        </w:rPr>
        <w:t xml:space="preserve"> </w:t>
      </w:r>
      <w:bookmarkEnd w:id="1"/>
      <w:bookmarkEnd w:id="2"/>
      <w:r w:rsidR="00E41A20">
        <w:rPr>
          <w:szCs w:val="24"/>
          <w:lang w:val="en-US"/>
        </w:rPr>
        <w:t>cost trends</w:t>
      </w:r>
      <w:r w:rsidR="00F751EC">
        <w:rPr>
          <w:szCs w:val="24"/>
          <w:lang w:val="en-US"/>
        </w:rPr>
        <w:t xml:space="preserve"> (Source: Zerfass, 2017)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2551"/>
        <w:gridCol w:w="2268"/>
        <w:gridCol w:w="3119"/>
        <w:gridCol w:w="2629"/>
      </w:tblGrid>
      <w:tr w:rsidR="009E7684" w:rsidRPr="00415BC9" w14:paraId="3EB02826" w14:textId="77777777" w:rsidTr="00415BC9">
        <w:trPr>
          <w:tblHeader/>
        </w:trPr>
        <w:tc>
          <w:tcPr>
            <w:tcW w:w="2727" w:type="dxa"/>
            <w:shd w:val="clear" w:color="auto" w:fill="auto"/>
            <w:vAlign w:val="center"/>
          </w:tcPr>
          <w:p w14:paraId="18E3ADDA" w14:textId="542DC13C" w:rsidR="009E7684" w:rsidRPr="00415BC9" w:rsidRDefault="009E7684" w:rsidP="00415BC9">
            <w:pPr>
              <w:spacing w:after="0" w:line="240" w:lineRule="auto"/>
              <w:rPr>
                <w:b/>
                <w:sz w:val="20"/>
                <w:szCs w:val="20"/>
                <w:lang w:val="en-US"/>
              </w:rPr>
            </w:pPr>
            <w:proofErr w:type="spellStart"/>
            <w:r w:rsidRPr="00415BC9">
              <w:rPr>
                <w:b/>
                <w:sz w:val="20"/>
                <w:szCs w:val="20"/>
                <w:lang w:val="en-US"/>
              </w:rPr>
              <w:t>Technology</w:t>
            </w:r>
            <w:r w:rsidRPr="00415BC9">
              <w:rPr>
                <w:b/>
                <w:sz w:val="20"/>
                <w:szCs w:val="20"/>
                <w:vertAlign w:val="superscript"/>
                <w:lang w:val="en-US"/>
              </w:rPr>
              <w:t>d</w:t>
            </w:r>
            <w:proofErr w:type="spellEnd"/>
          </w:p>
        </w:tc>
        <w:tc>
          <w:tcPr>
            <w:tcW w:w="2551" w:type="dxa"/>
            <w:shd w:val="clear" w:color="auto" w:fill="auto"/>
            <w:vAlign w:val="center"/>
          </w:tcPr>
          <w:p w14:paraId="71913F76" w14:textId="77777777" w:rsidR="009E7684" w:rsidRPr="00415BC9" w:rsidRDefault="009E7684" w:rsidP="00415BC9">
            <w:pPr>
              <w:spacing w:after="0" w:line="240" w:lineRule="auto"/>
              <w:rPr>
                <w:b/>
                <w:sz w:val="20"/>
                <w:szCs w:val="20"/>
                <w:lang w:val="en-US"/>
              </w:rPr>
            </w:pPr>
            <w:r w:rsidRPr="00415BC9">
              <w:rPr>
                <w:b/>
                <w:sz w:val="20"/>
                <w:szCs w:val="20"/>
                <w:lang w:val="en-US"/>
              </w:rPr>
              <w:t>Costs</w:t>
            </w:r>
          </w:p>
        </w:tc>
        <w:tc>
          <w:tcPr>
            <w:tcW w:w="2268" w:type="dxa"/>
            <w:shd w:val="clear" w:color="auto" w:fill="auto"/>
            <w:vAlign w:val="center"/>
          </w:tcPr>
          <w:p w14:paraId="6C3C85B4" w14:textId="77777777" w:rsidR="009E7684" w:rsidRPr="00415BC9" w:rsidRDefault="009E7684" w:rsidP="00415BC9">
            <w:pPr>
              <w:spacing w:after="0" w:line="240" w:lineRule="auto"/>
              <w:rPr>
                <w:b/>
                <w:sz w:val="20"/>
                <w:szCs w:val="20"/>
                <w:lang w:val="en-US"/>
              </w:rPr>
            </w:pPr>
            <w:r w:rsidRPr="00415BC9">
              <w:rPr>
                <w:b/>
                <w:sz w:val="20"/>
                <w:szCs w:val="20"/>
                <w:lang w:val="en-US"/>
              </w:rPr>
              <w:t>Lifetime</w:t>
            </w:r>
          </w:p>
        </w:tc>
        <w:tc>
          <w:tcPr>
            <w:tcW w:w="3119" w:type="dxa"/>
            <w:shd w:val="clear" w:color="auto" w:fill="auto"/>
            <w:vAlign w:val="center"/>
          </w:tcPr>
          <w:p w14:paraId="68E243B3" w14:textId="77777777" w:rsidR="009E7684" w:rsidRPr="00415BC9" w:rsidRDefault="009E7684" w:rsidP="00415BC9">
            <w:pPr>
              <w:spacing w:after="0" w:line="240" w:lineRule="auto"/>
              <w:rPr>
                <w:b/>
                <w:sz w:val="20"/>
                <w:szCs w:val="20"/>
                <w:lang w:val="en-US"/>
              </w:rPr>
            </w:pPr>
            <w:r w:rsidRPr="00415BC9">
              <w:rPr>
                <w:b/>
                <w:sz w:val="20"/>
                <w:szCs w:val="20"/>
                <w:lang w:val="en-US"/>
              </w:rPr>
              <w:t>Efficacy</w:t>
            </w:r>
          </w:p>
        </w:tc>
        <w:tc>
          <w:tcPr>
            <w:tcW w:w="2629" w:type="dxa"/>
            <w:shd w:val="clear" w:color="auto" w:fill="auto"/>
            <w:vAlign w:val="center"/>
          </w:tcPr>
          <w:p w14:paraId="4B4C06DD" w14:textId="77777777" w:rsidR="009E7684" w:rsidRPr="00415BC9" w:rsidRDefault="009E7684" w:rsidP="00415BC9">
            <w:pPr>
              <w:spacing w:after="0" w:line="240" w:lineRule="auto"/>
              <w:rPr>
                <w:b/>
                <w:sz w:val="20"/>
                <w:szCs w:val="20"/>
                <w:lang w:val="en-US"/>
              </w:rPr>
            </w:pPr>
            <w:r w:rsidRPr="00415BC9">
              <w:rPr>
                <w:b/>
                <w:sz w:val="20"/>
                <w:szCs w:val="20"/>
                <w:lang w:val="en-US"/>
              </w:rPr>
              <w:t>Mitigation costs</w:t>
            </w:r>
          </w:p>
        </w:tc>
      </w:tr>
      <w:tr w:rsidR="009E7684" w:rsidRPr="00415BC9" w14:paraId="34885B3D" w14:textId="77777777" w:rsidTr="00415BC9">
        <w:tc>
          <w:tcPr>
            <w:tcW w:w="2727" w:type="dxa"/>
            <w:shd w:val="clear" w:color="auto" w:fill="auto"/>
            <w:vAlign w:val="center"/>
          </w:tcPr>
          <w:p w14:paraId="070107CF" w14:textId="77777777" w:rsidR="009E7684" w:rsidRPr="00415BC9" w:rsidRDefault="009E7684" w:rsidP="00415BC9">
            <w:pPr>
              <w:spacing w:after="0" w:line="240" w:lineRule="auto"/>
              <w:rPr>
                <w:sz w:val="20"/>
                <w:szCs w:val="20"/>
                <w:lang w:val="en-US"/>
              </w:rPr>
            </w:pPr>
            <w:r w:rsidRPr="00415BC9">
              <w:rPr>
                <w:sz w:val="20"/>
                <w:szCs w:val="20"/>
                <w:lang w:val="en-US"/>
              </w:rPr>
              <w:t xml:space="preserve">Light-duty vehicles - </w:t>
            </w:r>
          </w:p>
          <w:p w14:paraId="4D95470C" w14:textId="77777777" w:rsidR="009E7684" w:rsidRPr="00415BC9" w:rsidRDefault="009E7684" w:rsidP="00415BC9">
            <w:pPr>
              <w:spacing w:after="0" w:line="240" w:lineRule="auto"/>
              <w:rPr>
                <w:sz w:val="20"/>
                <w:szCs w:val="20"/>
                <w:vertAlign w:val="superscript"/>
                <w:lang w:val="en-US"/>
              </w:rPr>
            </w:pPr>
            <w:r w:rsidRPr="00415BC9">
              <w:rPr>
                <w:sz w:val="20"/>
                <w:szCs w:val="20"/>
                <w:lang w:val="en-US"/>
              </w:rPr>
              <w:t>Three-way catalyst</w:t>
            </w:r>
            <w:r w:rsidRPr="00415BC9">
              <w:rPr>
                <w:sz w:val="20"/>
                <w:szCs w:val="20"/>
                <w:vertAlign w:val="superscript"/>
                <w:lang w:val="en-US"/>
              </w:rPr>
              <w:t xml:space="preserve"> </w:t>
            </w:r>
          </w:p>
          <w:p w14:paraId="72D36FB2" w14:textId="77777777" w:rsidR="009E7684" w:rsidRPr="00415BC9" w:rsidRDefault="009E7684" w:rsidP="00415BC9">
            <w:pPr>
              <w:spacing w:after="0" w:line="240" w:lineRule="auto"/>
              <w:rPr>
                <w:sz w:val="20"/>
                <w:szCs w:val="20"/>
                <w:vertAlign w:val="superscript"/>
                <w:lang w:val="en-US"/>
              </w:rPr>
            </w:pPr>
            <w:r w:rsidRPr="00415BC9">
              <w:rPr>
                <w:sz w:val="20"/>
                <w:szCs w:val="20"/>
                <w:lang w:val="en-US"/>
              </w:rPr>
              <w:t xml:space="preserve">(including sensors and control software) </w:t>
            </w:r>
          </w:p>
        </w:tc>
        <w:tc>
          <w:tcPr>
            <w:tcW w:w="2551" w:type="dxa"/>
            <w:shd w:val="clear" w:color="auto" w:fill="auto"/>
            <w:vAlign w:val="center"/>
          </w:tcPr>
          <w:p w14:paraId="347105C9" w14:textId="77777777" w:rsidR="009E7684" w:rsidRPr="00415BC9" w:rsidRDefault="009E7684" w:rsidP="00415BC9">
            <w:pPr>
              <w:spacing w:after="0" w:line="240" w:lineRule="auto"/>
              <w:rPr>
                <w:sz w:val="20"/>
                <w:szCs w:val="20"/>
                <w:lang w:val="en-US"/>
              </w:rPr>
            </w:pPr>
            <w:r w:rsidRPr="00415BC9">
              <w:rPr>
                <w:sz w:val="20"/>
                <w:szCs w:val="20"/>
                <w:lang w:val="en-US"/>
              </w:rPr>
              <w:t xml:space="preserve">230-380 EUR (estimate based on </w:t>
            </w:r>
            <w:proofErr w:type="spellStart"/>
            <w:r w:rsidRPr="00415BC9">
              <w:rPr>
                <w:sz w:val="20"/>
                <w:szCs w:val="20"/>
                <w:lang w:val="en-US"/>
              </w:rPr>
              <w:t>Possada</w:t>
            </w:r>
            <w:proofErr w:type="spellEnd"/>
            <w:r w:rsidRPr="00415BC9">
              <w:rPr>
                <w:sz w:val="20"/>
                <w:szCs w:val="20"/>
                <w:lang w:val="en-US"/>
              </w:rPr>
              <w:t xml:space="preserve"> et al., 2012)</w:t>
            </w:r>
            <w:proofErr w:type="spellStart"/>
            <w:r w:rsidRPr="00415BC9">
              <w:rPr>
                <w:sz w:val="20"/>
                <w:szCs w:val="20"/>
                <w:vertAlign w:val="superscript"/>
                <w:lang w:val="en-US"/>
              </w:rPr>
              <w:t>a,b</w:t>
            </w:r>
            <w:proofErr w:type="spellEnd"/>
          </w:p>
        </w:tc>
        <w:tc>
          <w:tcPr>
            <w:tcW w:w="2268" w:type="dxa"/>
            <w:shd w:val="clear" w:color="auto" w:fill="auto"/>
            <w:vAlign w:val="center"/>
          </w:tcPr>
          <w:p w14:paraId="6EF7CF40" w14:textId="77777777" w:rsidR="009E7684" w:rsidRPr="00415BC9" w:rsidRDefault="009E7684" w:rsidP="00415BC9">
            <w:pPr>
              <w:spacing w:after="0" w:line="240" w:lineRule="auto"/>
              <w:rPr>
                <w:sz w:val="20"/>
                <w:szCs w:val="20"/>
                <w:lang w:val="en-US"/>
              </w:rPr>
            </w:pPr>
            <w:r w:rsidRPr="00415BC9">
              <w:rPr>
                <w:sz w:val="20"/>
                <w:szCs w:val="20"/>
                <w:lang w:val="en-US"/>
              </w:rPr>
              <w:t>240,000 km (based on Tier 3 durability requirements in the USA; Delphi, 2015)</w:t>
            </w:r>
          </w:p>
        </w:tc>
        <w:tc>
          <w:tcPr>
            <w:tcW w:w="3119" w:type="dxa"/>
            <w:shd w:val="clear" w:color="auto" w:fill="auto"/>
            <w:vAlign w:val="center"/>
          </w:tcPr>
          <w:p w14:paraId="33D6C549" w14:textId="77777777" w:rsidR="009E7684" w:rsidRPr="00415BC9" w:rsidRDefault="009E7684" w:rsidP="00415BC9">
            <w:pPr>
              <w:spacing w:after="0" w:line="240" w:lineRule="auto"/>
              <w:rPr>
                <w:sz w:val="20"/>
                <w:szCs w:val="20"/>
                <w:lang w:val="en-US"/>
              </w:rPr>
            </w:pPr>
            <w:r w:rsidRPr="00415BC9">
              <w:rPr>
                <w:sz w:val="20"/>
                <w:szCs w:val="20"/>
                <w:lang w:val="en-US"/>
              </w:rPr>
              <w:t>95% NO</w:t>
            </w:r>
            <w:r w:rsidRPr="00415BC9">
              <w:rPr>
                <w:sz w:val="20"/>
                <w:szCs w:val="20"/>
                <w:vertAlign w:val="subscript"/>
                <w:lang w:val="en-US"/>
              </w:rPr>
              <w:t>X</w:t>
            </w:r>
            <w:r w:rsidRPr="00415BC9">
              <w:rPr>
                <w:sz w:val="20"/>
                <w:szCs w:val="20"/>
                <w:lang w:val="en-US"/>
              </w:rPr>
              <w:t xml:space="preserve"> removal (based on Mooney (2007)</w:t>
            </w:r>
          </w:p>
        </w:tc>
        <w:tc>
          <w:tcPr>
            <w:tcW w:w="2629" w:type="dxa"/>
            <w:shd w:val="clear" w:color="auto" w:fill="auto"/>
            <w:vAlign w:val="center"/>
          </w:tcPr>
          <w:p w14:paraId="515B3EE3" w14:textId="77777777" w:rsidR="009E7684" w:rsidRPr="00415BC9" w:rsidRDefault="009E7684" w:rsidP="00415BC9">
            <w:pPr>
              <w:spacing w:after="0" w:line="240" w:lineRule="auto"/>
              <w:rPr>
                <w:sz w:val="20"/>
                <w:szCs w:val="20"/>
                <w:lang w:val="en-US"/>
              </w:rPr>
            </w:pPr>
            <w:r w:rsidRPr="00415BC9">
              <w:rPr>
                <w:sz w:val="20"/>
                <w:szCs w:val="20"/>
                <w:lang w:val="en-US"/>
              </w:rPr>
              <w:t>840-1,400 EUR/t NOx</w:t>
            </w:r>
          </w:p>
        </w:tc>
      </w:tr>
      <w:tr w:rsidR="009E7684" w:rsidRPr="00415BC9" w14:paraId="6AABBE1B" w14:textId="77777777" w:rsidTr="00415BC9">
        <w:tc>
          <w:tcPr>
            <w:tcW w:w="2727" w:type="dxa"/>
            <w:shd w:val="clear" w:color="auto" w:fill="auto"/>
            <w:vAlign w:val="center"/>
          </w:tcPr>
          <w:p w14:paraId="6E2105A7" w14:textId="77777777" w:rsidR="009E7684" w:rsidRPr="00415BC9" w:rsidRDefault="009E7684" w:rsidP="00415BC9">
            <w:pPr>
              <w:spacing w:after="0" w:line="240" w:lineRule="auto"/>
              <w:rPr>
                <w:sz w:val="20"/>
                <w:szCs w:val="20"/>
                <w:lang w:val="en-US"/>
              </w:rPr>
            </w:pPr>
            <w:r w:rsidRPr="00415BC9">
              <w:rPr>
                <w:sz w:val="20"/>
                <w:szCs w:val="20"/>
                <w:lang w:val="en-US"/>
              </w:rPr>
              <w:t xml:space="preserve">Light-duty vehicles – </w:t>
            </w:r>
          </w:p>
          <w:p w14:paraId="03E2D75A" w14:textId="77777777" w:rsidR="009E7684" w:rsidRPr="00415BC9" w:rsidRDefault="009E7684" w:rsidP="00415BC9">
            <w:pPr>
              <w:spacing w:after="0" w:line="240" w:lineRule="auto"/>
              <w:rPr>
                <w:sz w:val="20"/>
                <w:szCs w:val="20"/>
                <w:lang w:val="en-US"/>
              </w:rPr>
            </w:pPr>
            <w:r w:rsidRPr="00415BC9">
              <w:rPr>
                <w:sz w:val="20"/>
                <w:szCs w:val="20"/>
                <w:lang w:val="en-US"/>
              </w:rPr>
              <w:t>Lean NO</w:t>
            </w:r>
            <w:r w:rsidRPr="00415BC9">
              <w:rPr>
                <w:sz w:val="20"/>
                <w:szCs w:val="20"/>
                <w:vertAlign w:val="subscript"/>
                <w:lang w:val="en-US"/>
              </w:rPr>
              <w:t>X</w:t>
            </w:r>
            <w:r w:rsidRPr="00415BC9">
              <w:rPr>
                <w:sz w:val="20"/>
                <w:szCs w:val="20"/>
                <w:lang w:val="en-US"/>
              </w:rPr>
              <w:t>-storage catalyst</w:t>
            </w:r>
          </w:p>
        </w:tc>
        <w:tc>
          <w:tcPr>
            <w:tcW w:w="2551" w:type="dxa"/>
            <w:shd w:val="clear" w:color="auto" w:fill="auto"/>
            <w:vAlign w:val="center"/>
          </w:tcPr>
          <w:p w14:paraId="306C3897" w14:textId="77777777" w:rsidR="009E7684" w:rsidRPr="00415BC9" w:rsidRDefault="009E7684" w:rsidP="00415BC9">
            <w:pPr>
              <w:spacing w:after="0" w:line="240" w:lineRule="auto"/>
              <w:rPr>
                <w:sz w:val="20"/>
                <w:szCs w:val="20"/>
                <w:lang w:val="en-US"/>
              </w:rPr>
            </w:pPr>
            <w:r w:rsidRPr="00415BC9">
              <w:rPr>
                <w:sz w:val="20"/>
                <w:szCs w:val="20"/>
                <w:lang w:val="en-US"/>
              </w:rPr>
              <w:t xml:space="preserve">250-680 EUR (estimate based on </w:t>
            </w:r>
            <w:proofErr w:type="spellStart"/>
            <w:r w:rsidRPr="00415BC9">
              <w:rPr>
                <w:sz w:val="20"/>
                <w:szCs w:val="20"/>
                <w:lang w:val="en-US"/>
              </w:rPr>
              <w:t>Possada</w:t>
            </w:r>
            <w:proofErr w:type="spellEnd"/>
            <w:r w:rsidRPr="00415BC9">
              <w:rPr>
                <w:sz w:val="20"/>
                <w:szCs w:val="20"/>
                <w:lang w:val="en-US"/>
              </w:rPr>
              <w:t xml:space="preserve"> et al., 2012)</w:t>
            </w:r>
            <w:proofErr w:type="spellStart"/>
            <w:r w:rsidRPr="00415BC9">
              <w:rPr>
                <w:sz w:val="20"/>
                <w:szCs w:val="20"/>
                <w:vertAlign w:val="superscript"/>
                <w:lang w:val="en-US"/>
              </w:rPr>
              <w:t>a,b</w:t>
            </w:r>
            <w:proofErr w:type="spellEnd"/>
          </w:p>
        </w:tc>
        <w:tc>
          <w:tcPr>
            <w:tcW w:w="2268" w:type="dxa"/>
            <w:shd w:val="clear" w:color="auto" w:fill="auto"/>
            <w:vAlign w:val="center"/>
          </w:tcPr>
          <w:p w14:paraId="42C3C8BB" w14:textId="77777777" w:rsidR="009E7684" w:rsidRPr="00415BC9" w:rsidRDefault="009E7684" w:rsidP="00415BC9">
            <w:pPr>
              <w:spacing w:after="0" w:line="240" w:lineRule="auto"/>
              <w:rPr>
                <w:sz w:val="20"/>
                <w:szCs w:val="20"/>
                <w:lang w:val="en-US"/>
              </w:rPr>
            </w:pPr>
            <w:r w:rsidRPr="00415BC9">
              <w:rPr>
                <w:sz w:val="20"/>
                <w:szCs w:val="20"/>
                <w:lang w:val="en-US"/>
              </w:rPr>
              <w:t>240,000 km based on Tier 3 durability requirements in the US (Delphi, 2015)</w:t>
            </w:r>
          </w:p>
        </w:tc>
        <w:tc>
          <w:tcPr>
            <w:tcW w:w="3119" w:type="dxa"/>
            <w:shd w:val="clear" w:color="auto" w:fill="auto"/>
            <w:vAlign w:val="center"/>
          </w:tcPr>
          <w:p w14:paraId="6BF87989" w14:textId="77777777" w:rsidR="009E7684" w:rsidRPr="00415BC9" w:rsidRDefault="009E7684" w:rsidP="00415BC9">
            <w:pPr>
              <w:spacing w:after="0" w:line="240" w:lineRule="auto"/>
              <w:rPr>
                <w:sz w:val="20"/>
                <w:szCs w:val="20"/>
                <w:lang w:val="en-US"/>
              </w:rPr>
            </w:pPr>
            <w:r w:rsidRPr="00415BC9">
              <w:rPr>
                <w:sz w:val="20"/>
                <w:szCs w:val="20"/>
                <w:lang w:val="en-US"/>
              </w:rPr>
              <w:t>NO</w:t>
            </w:r>
            <w:r w:rsidRPr="00415BC9">
              <w:rPr>
                <w:sz w:val="20"/>
                <w:szCs w:val="20"/>
                <w:vertAlign w:val="subscript"/>
                <w:lang w:val="en-US"/>
              </w:rPr>
              <w:t>X</w:t>
            </w:r>
            <w:r w:rsidRPr="00415BC9">
              <w:rPr>
                <w:sz w:val="20"/>
                <w:szCs w:val="20"/>
                <w:lang w:val="en-US"/>
              </w:rPr>
              <w:t xml:space="preserve"> reduction from 1,20 g/km to 0.30 g/km = 0,90 g/km (first order estimate of the authors)</w:t>
            </w:r>
          </w:p>
        </w:tc>
        <w:tc>
          <w:tcPr>
            <w:tcW w:w="2629" w:type="dxa"/>
            <w:shd w:val="clear" w:color="auto" w:fill="auto"/>
            <w:vAlign w:val="center"/>
          </w:tcPr>
          <w:p w14:paraId="365B612D" w14:textId="77777777" w:rsidR="009E7684" w:rsidRPr="00415BC9" w:rsidRDefault="009E7684" w:rsidP="00415BC9">
            <w:pPr>
              <w:spacing w:after="0" w:line="240" w:lineRule="auto"/>
              <w:rPr>
                <w:sz w:val="20"/>
                <w:szCs w:val="20"/>
                <w:lang w:val="en-US"/>
              </w:rPr>
            </w:pPr>
            <w:r w:rsidRPr="00415BC9">
              <w:rPr>
                <w:sz w:val="20"/>
                <w:szCs w:val="20"/>
                <w:lang w:val="en-US"/>
              </w:rPr>
              <w:t>1,200-3,200 EUR/t NO</w:t>
            </w:r>
            <w:r w:rsidRPr="00415BC9">
              <w:rPr>
                <w:sz w:val="20"/>
                <w:szCs w:val="20"/>
                <w:vertAlign w:val="subscript"/>
                <w:lang w:val="en-US"/>
              </w:rPr>
              <w:t>X</w:t>
            </w:r>
          </w:p>
        </w:tc>
      </w:tr>
      <w:tr w:rsidR="009E7684" w:rsidRPr="00415BC9" w14:paraId="6337EAAF" w14:textId="77777777" w:rsidTr="00415BC9">
        <w:tc>
          <w:tcPr>
            <w:tcW w:w="2727" w:type="dxa"/>
            <w:shd w:val="clear" w:color="auto" w:fill="auto"/>
            <w:vAlign w:val="center"/>
          </w:tcPr>
          <w:p w14:paraId="59A90BF1" w14:textId="77777777" w:rsidR="009E7684" w:rsidRPr="00415BC9" w:rsidRDefault="009E7684" w:rsidP="00415BC9">
            <w:pPr>
              <w:spacing w:after="0" w:line="240" w:lineRule="auto"/>
              <w:rPr>
                <w:sz w:val="20"/>
                <w:szCs w:val="20"/>
                <w:lang w:val="en-US"/>
              </w:rPr>
            </w:pPr>
            <w:r w:rsidRPr="00415BC9">
              <w:rPr>
                <w:sz w:val="20"/>
                <w:szCs w:val="20"/>
                <w:lang w:val="en-US"/>
              </w:rPr>
              <w:t xml:space="preserve">Light-duty vehicles – </w:t>
            </w:r>
          </w:p>
          <w:p w14:paraId="453BF93D" w14:textId="77777777" w:rsidR="009E7684" w:rsidRPr="00415BC9" w:rsidRDefault="009E7684" w:rsidP="00415BC9">
            <w:pPr>
              <w:spacing w:after="0" w:line="240" w:lineRule="auto"/>
              <w:rPr>
                <w:sz w:val="20"/>
                <w:szCs w:val="20"/>
                <w:lang w:val="en-US"/>
              </w:rPr>
            </w:pPr>
            <w:r w:rsidRPr="00415BC9">
              <w:rPr>
                <w:sz w:val="20"/>
                <w:szCs w:val="20"/>
                <w:lang w:val="en-US"/>
              </w:rPr>
              <w:t xml:space="preserve">Selective catalytic reduction </w:t>
            </w:r>
          </w:p>
          <w:p w14:paraId="28D56716" w14:textId="77777777" w:rsidR="009E7684" w:rsidRPr="00415BC9" w:rsidRDefault="009E7684" w:rsidP="00415BC9">
            <w:pPr>
              <w:spacing w:after="0" w:line="240" w:lineRule="auto"/>
              <w:rPr>
                <w:sz w:val="20"/>
                <w:szCs w:val="20"/>
                <w:lang w:val="en-US"/>
              </w:rPr>
            </w:pPr>
          </w:p>
        </w:tc>
        <w:tc>
          <w:tcPr>
            <w:tcW w:w="2551" w:type="dxa"/>
            <w:shd w:val="clear" w:color="auto" w:fill="auto"/>
            <w:vAlign w:val="center"/>
          </w:tcPr>
          <w:p w14:paraId="1DE08D3D" w14:textId="77777777" w:rsidR="009E7684" w:rsidRPr="00415BC9" w:rsidRDefault="009E7684" w:rsidP="00415BC9">
            <w:pPr>
              <w:spacing w:after="0" w:line="240" w:lineRule="auto"/>
              <w:rPr>
                <w:sz w:val="20"/>
                <w:szCs w:val="20"/>
                <w:lang w:val="en-US"/>
              </w:rPr>
            </w:pPr>
            <w:r w:rsidRPr="00415BC9">
              <w:rPr>
                <w:sz w:val="20"/>
                <w:szCs w:val="20"/>
                <w:lang w:val="en-US"/>
              </w:rPr>
              <w:t xml:space="preserve">System costs: 330-500 EUR estimate based on </w:t>
            </w:r>
            <w:proofErr w:type="spellStart"/>
            <w:r w:rsidRPr="00415BC9">
              <w:rPr>
                <w:sz w:val="20"/>
                <w:szCs w:val="20"/>
                <w:lang w:val="en-US"/>
              </w:rPr>
              <w:t>Possada</w:t>
            </w:r>
            <w:proofErr w:type="spellEnd"/>
            <w:r w:rsidRPr="00415BC9">
              <w:rPr>
                <w:sz w:val="20"/>
                <w:szCs w:val="20"/>
                <w:lang w:val="en-US"/>
              </w:rPr>
              <w:t xml:space="preserve"> et al., 2012)</w:t>
            </w:r>
            <w:proofErr w:type="spellStart"/>
            <w:r w:rsidRPr="00415BC9">
              <w:rPr>
                <w:sz w:val="20"/>
                <w:szCs w:val="20"/>
                <w:vertAlign w:val="superscript"/>
                <w:lang w:val="en-US"/>
              </w:rPr>
              <w:t>a,b</w:t>
            </w:r>
            <w:proofErr w:type="spellEnd"/>
            <w:r w:rsidRPr="00415BC9">
              <w:rPr>
                <w:sz w:val="20"/>
                <w:szCs w:val="20"/>
                <w:lang w:val="en-US"/>
              </w:rPr>
              <w:t xml:space="preserve">; </w:t>
            </w:r>
          </w:p>
          <w:p w14:paraId="4A971342" w14:textId="77777777" w:rsidR="009E7684" w:rsidRPr="00415BC9" w:rsidRDefault="009E7684" w:rsidP="00415BC9">
            <w:pPr>
              <w:spacing w:after="0" w:line="240" w:lineRule="auto"/>
              <w:rPr>
                <w:sz w:val="20"/>
                <w:szCs w:val="20"/>
                <w:lang w:val="en-US"/>
              </w:rPr>
            </w:pPr>
            <w:r w:rsidRPr="00415BC9">
              <w:rPr>
                <w:sz w:val="20"/>
                <w:szCs w:val="20"/>
                <w:lang w:val="en-US"/>
              </w:rPr>
              <w:t xml:space="preserve">Urea costs: 1.65 EUR/1000 </w:t>
            </w:r>
            <w:proofErr w:type="spellStart"/>
            <w:r w:rsidRPr="00415BC9">
              <w:rPr>
                <w:sz w:val="20"/>
                <w:szCs w:val="20"/>
                <w:lang w:val="en-US"/>
              </w:rPr>
              <w:t>km</w:t>
            </w:r>
            <w:r w:rsidRPr="00415BC9">
              <w:rPr>
                <w:sz w:val="20"/>
                <w:szCs w:val="20"/>
                <w:vertAlign w:val="superscript"/>
                <w:lang w:val="en-US"/>
              </w:rPr>
              <w:t>c</w:t>
            </w:r>
            <w:proofErr w:type="spellEnd"/>
          </w:p>
        </w:tc>
        <w:tc>
          <w:tcPr>
            <w:tcW w:w="2268" w:type="dxa"/>
            <w:shd w:val="clear" w:color="auto" w:fill="auto"/>
            <w:vAlign w:val="center"/>
          </w:tcPr>
          <w:p w14:paraId="20CAAA5D" w14:textId="13B7D258" w:rsidR="009E7684" w:rsidRPr="00415BC9" w:rsidRDefault="009E7684" w:rsidP="00415BC9">
            <w:pPr>
              <w:spacing w:after="0" w:line="240" w:lineRule="auto"/>
              <w:rPr>
                <w:sz w:val="20"/>
                <w:szCs w:val="20"/>
                <w:lang w:val="en-US"/>
              </w:rPr>
            </w:pPr>
            <w:r w:rsidRPr="00415BC9">
              <w:rPr>
                <w:sz w:val="20"/>
                <w:szCs w:val="20"/>
                <w:lang w:val="en-US"/>
              </w:rPr>
              <w:t>240,000 km based on Tier 3 durability requir</w:t>
            </w:r>
            <w:r w:rsidR="000B597B">
              <w:rPr>
                <w:sz w:val="20"/>
                <w:szCs w:val="20"/>
                <w:lang w:val="en-US"/>
              </w:rPr>
              <w:t>e</w:t>
            </w:r>
            <w:r w:rsidRPr="00415BC9">
              <w:rPr>
                <w:sz w:val="20"/>
                <w:szCs w:val="20"/>
                <w:lang w:val="en-US"/>
              </w:rPr>
              <w:t>ments in the US (Delphi, 2015)</w:t>
            </w:r>
          </w:p>
        </w:tc>
        <w:tc>
          <w:tcPr>
            <w:tcW w:w="3119" w:type="dxa"/>
            <w:shd w:val="clear" w:color="auto" w:fill="auto"/>
            <w:vAlign w:val="center"/>
          </w:tcPr>
          <w:p w14:paraId="19F66E08" w14:textId="5886E568" w:rsidR="009E7684" w:rsidRPr="00415BC9" w:rsidRDefault="000B597B" w:rsidP="00415BC9">
            <w:pPr>
              <w:spacing w:after="0" w:line="240" w:lineRule="auto"/>
              <w:rPr>
                <w:sz w:val="20"/>
                <w:szCs w:val="20"/>
                <w:lang w:val="en-US"/>
              </w:rPr>
            </w:pPr>
            <w:r>
              <w:rPr>
                <w:sz w:val="20"/>
                <w:szCs w:val="20"/>
                <w:lang w:val="en-US"/>
              </w:rPr>
              <w:t>NO</w:t>
            </w:r>
            <w:r w:rsidRPr="000B597B">
              <w:rPr>
                <w:sz w:val="20"/>
                <w:szCs w:val="20"/>
                <w:vertAlign w:val="subscript"/>
                <w:lang w:val="en-US"/>
              </w:rPr>
              <w:t>X</w:t>
            </w:r>
            <w:r w:rsidR="009E7684" w:rsidRPr="00415BC9">
              <w:rPr>
                <w:sz w:val="20"/>
                <w:szCs w:val="20"/>
                <w:lang w:val="en-US"/>
              </w:rPr>
              <w:t xml:space="preserve"> reduction from 1.20 g/km to 0.12 g/km = 1,08 g/km (estimate of the authors)</w:t>
            </w:r>
          </w:p>
        </w:tc>
        <w:tc>
          <w:tcPr>
            <w:tcW w:w="2629" w:type="dxa"/>
            <w:shd w:val="clear" w:color="auto" w:fill="auto"/>
            <w:vAlign w:val="center"/>
          </w:tcPr>
          <w:p w14:paraId="1DE7DDE2" w14:textId="77777777" w:rsidR="009E7684" w:rsidRPr="00415BC9" w:rsidRDefault="009E7684" w:rsidP="00415BC9">
            <w:pPr>
              <w:spacing w:after="0" w:line="240" w:lineRule="auto"/>
              <w:rPr>
                <w:sz w:val="20"/>
                <w:szCs w:val="20"/>
                <w:lang w:val="en-US"/>
              </w:rPr>
            </w:pPr>
            <w:r w:rsidRPr="00415BC9">
              <w:rPr>
                <w:sz w:val="20"/>
                <w:szCs w:val="20"/>
                <w:lang w:val="en-US"/>
              </w:rPr>
              <w:t>2,800-3,800 EUR/t NOx</w:t>
            </w:r>
          </w:p>
        </w:tc>
      </w:tr>
      <w:tr w:rsidR="009E7684" w:rsidRPr="00415BC9" w14:paraId="42230204" w14:textId="77777777" w:rsidTr="00415BC9">
        <w:tc>
          <w:tcPr>
            <w:tcW w:w="2727" w:type="dxa"/>
            <w:shd w:val="clear" w:color="auto" w:fill="auto"/>
            <w:vAlign w:val="center"/>
          </w:tcPr>
          <w:p w14:paraId="733335A1" w14:textId="77777777" w:rsidR="009E7684" w:rsidRPr="00415BC9" w:rsidRDefault="009E7684" w:rsidP="00415BC9">
            <w:pPr>
              <w:spacing w:after="0" w:line="240" w:lineRule="auto"/>
              <w:rPr>
                <w:sz w:val="20"/>
                <w:szCs w:val="20"/>
                <w:lang w:val="en-US"/>
              </w:rPr>
            </w:pPr>
            <w:r w:rsidRPr="00415BC9">
              <w:rPr>
                <w:sz w:val="20"/>
                <w:szCs w:val="20"/>
                <w:lang w:val="en-US"/>
              </w:rPr>
              <w:t xml:space="preserve">Heavy-duty vehicles – </w:t>
            </w:r>
          </w:p>
          <w:p w14:paraId="0E9D5D93" w14:textId="77777777" w:rsidR="009E7684" w:rsidRPr="00415BC9" w:rsidRDefault="009E7684" w:rsidP="00415BC9">
            <w:pPr>
              <w:spacing w:after="0" w:line="240" w:lineRule="auto"/>
              <w:rPr>
                <w:sz w:val="20"/>
                <w:szCs w:val="20"/>
                <w:lang w:val="en-US"/>
              </w:rPr>
            </w:pPr>
            <w:r w:rsidRPr="00415BC9">
              <w:rPr>
                <w:sz w:val="20"/>
                <w:szCs w:val="20"/>
                <w:lang w:val="en-US"/>
              </w:rPr>
              <w:t xml:space="preserve">Selective catalytic reduction </w:t>
            </w:r>
          </w:p>
        </w:tc>
        <w:tc>
          <w:tcPr>
            <w:tcW w:w="2551" w:type="dxa"/>
            <w:shd w:val="clear" w:color="auto" w:fill="auto"/>
            <w:vAlign w:val="center"/>
          </w:tcPr>
          <w:p w14:paraId="461B7C16" w14:textId="77777777" w:rsidR="009E7684" w:rsidRPr="00415BC9" w:rsidRDefault="009E7684" w:rsidP="00415BC9">
            <w:pPr>
              <w:spacing w:after="0" w:line="240" w:lineRule="auto"/>
              <w:rPr>
                <w:sz w:val="20"/>
                <w:szCs w:val="20"/>
                <w:vertAlign w:val="superscript"/>
                <w:lang w:val="en-US"/>
              </w:rPr>
            </w:pPr>
            <w:r w:rsidRPr="00415BC9">
              <w:rPr>
                <w:sz w:val="20"/>
                <w:szCs w:val="20"/>
                <w:lang w:val="en-US"/>
              </w:rPr>
              <w:t xml:space="preserve">1,830-2,510 EUR (estimate of manufacturing costs for a vanadium-based SCR system based on </w:t>
            </w:r>
            <w:proofErr w:type="spellStart"/>
            <w:r w:rsidRPr="00415BC9">
              <w:rPr>
                <w:sz w:val="20"/>
                <w:szCs w:val="20"/>
                <w:lang w:val="en-US"/>
              </w:rPr>
              <w:t>Possada</w:t>
            </w:r>
            <w:proofErr w:type="spellEnd"/>
            <w:r w:rsidRPr="00415BC9">
              <w:rPr>
                <w:sz w:val="20"/>
                <w:szCs w:val="20"/>
                <w:lang w:val="en-US"/>
              </w:rPr>
              <w:t>, et al., 2016)</w:t>
            </w:r>
            <w:r w:rsidRPr="00415BC9">
              <w:rPr>
                <w:sz w:val="20"/>
                <w:szCs w:val="20"/>
                <w:vertAlign w:val="superscript"/>
                <w:lang w:val="en-US"/>
              </w:rPr>
              <w:t>a</w:t>
            </w:r>
            <w:r w:rsidRPr="00415BC9">
              <w:rPr>
                <w:sz w:val="20"/>
                <w:szCs w:val="20"/>
                <w:lang w:val="en-US"/>
              </w:rPr>
              <w:t xml:space="preserve">; urea costs: 0,88 EUR/100 </w:t>
            </w:r>
            <w:proofErr w:type="spellStart"/>
            <w:r w:rsidRPr="00415BC9">
              <w:rPr>
                <w:sz w:val="20"/>
                <w:szCs w:val="20"/>
                <w:lang w:val="en-US"/>
              </w:rPr>
              <w:t>km</w:t>
            </w:r>
            <w:r w:rsidRPr="00415BC9">
              <w:rPr>
                <w:sz w:val="20"/>
                <w:szCs w:val="20"/>
                <w:vertAlign w:val="superscript"/>
                <w:lang w:val="en-US"/>
              </w:rPr>
              <w:t>c</w:t>
            </w:r>
            <w:proofErr w:type="spellEnd"/>
          </w:p>
        </w:tc>
        <w:tc>
          <w:tcPr>
            <w:tcW w:w="2268" w:type="dxa"/>
            <w:shd w:val="clear" w:color="auto" w:fill="auto"/>
            <w:vAlign w:val="center"/>
          </w:tcPr>
          <w:p w14:paraId="27742DDD" w14:textId="77777777" w:rsidR="009E7684" w:rsidRPr="00415BC9" w:rsidRDefault="009E7684" w:rsidP="00415BC9">
            <w:pPr>
              <w:spacing w:after="0" w:line="240" w:lineRule="auto"/>
              <w:rPr>
                <w:sz w:val="20"/>
                <w:szCs w:val="20"/>
                <w:lang w:val="en-US"/>
              </w:rPr>
            </w:pPr>
            <w:r w:rsidRPr="00415BC9">
              <w:rPr>
                <w:sz w:val="20"/>
                <w:szCs w:val="20"/>
                <w:lang w:val="en-US"/>
              </w:rPr>
              <w:t>500,000 km based on Euro VI durability requirements (Delphi, 2017)</w:t>
            </w:r>
          </w:p>
        </w:tc>
        <w:tc>
          <w:tcPr>
            <w:tcW w:w="3119" w:type="dxa"/>
            <w:shd w:val="clear" w:color="auto" w:fill="auto"/>
            <w:vAlign w:val="center"/>
          </w:tcPr>
          <w:p w14:paraId="2F1030E8" w14:textId="77777777" w:rsidR="009E7684" w:rsidRPr="00415BC9" w:rsidRDefault="009E7684" w:rsidP="00415BC9">
            <w:pPr>
              <w:spacing w:after="0" w:line="240" w:lineRule="auto"/>
              <w:rPr>
                <w:sz w:val="20"/>
                <w:szCs w:val="20"/>
                <w:lang w:val="en-US"/>
              </w:rPr>
            </w:pPr>
            <w:r w:rsidRPr="00415BC9">
              <w:rPr>
                <w:sz w:val="20"/>
                <w:szCs w:val="20"/>
                <w:lang w:val="en-US"/>
              </w:rPr>
              <w:t>NO</w:t>
            </w:r>
            <w:r w:rsidRPr="00415BC9">
              <w:rPr>
                <w:sz w:val="20"/>
                <w:szCs w:val="20"/>
                <w:vertAlign w:val="subscript"/>
                <w:lang w:val="en-US"/>
              </w:rPr>
              <w:t>X</w:t>
            </w:r>
            <w:r w:rsidRPr="00415BC9">
              <w:rPr>
                <w:sz w:val="20"/>
                <w:szCs w:val="20"/>
                <w:lang w:val="en-US"/>
              </w:rPr>
              <w:t xml:space="preserve"> reduction to 0.21 g/km (ICCT, 2016); NO</w:t>
            </w:r>
            <w:r w:rsidRPr="00415BC9">
              <w:rPr>
                <w:sz w:val="20"/>
                <w:szCs w:val="20"/>
                <w:vertAlign w:val="subscript"/>
                <w:lang w:val="en-US"/>
              </w:rPr>
              <w:t>X</w:t>
            </w:r>
            <w:r w:rsidRPr="00415BC9">
              <w:rPr>
                <w:sz w:val="20"/>
                <w:szCs w:val="20"/>
                <w:lang w:val="en-US"/>
              </w:rPr>
              <w:t xml:space="preserve"> reduction efficiency of 95% (first order estimate of the authors)</w:t>
            </w:r>
          </w:p>
        </w:tc>
        <w:tc>
          <w:tcPr>
            <w:tcW w:w="2629" w:type="dxa"/>
            <w:shd w:val="clear" w:color="auto" w:fill="auto"/>
            <w:vAlign w:val="center"/>
          </w:tcPr>
          <w:p w14:paraId="1B3101E9" w14:textId="77777777" w:rsidR="009E7684" w:rsidRPr="00415BC9" w:rsidRDefault="009E7684" w:rsidP="00415BC9">
            <w:pPr>
              <w:spacing w:after="0" w:line="240" w:lineRule="auto"/>
              <w:rPr>
                <w:sz w:val="20"/>
                <w:szCs w:val="20"/>
                <w:lang w:val="en-US"/>
              </w:rPr>
            </w:pPr>
            <w:r w:rsidRPr="00415BC9">
              <w:rPr>
                <w:sz w:val="20"/>
                <w:szCs w:val="20"/>
                <w:lang w:val="en-US"/>
              </w:rPr>
              <w:t>3,100-3,500 EUR/t NO</w:t>
            </w:r>
            <w:r w:rsidRPr="00415BC9">
              <w:rPr>
                <w:sz w:val="20"/>
                <w:szCs w:val="20"/>
                <w:vertAlign w:val="subscript"/>
                <w:lang w:val="en-US"/>
              </w:rPr>
              <w:t>X</w:t>
            </w:r>
          </w:p>
        </w:tc>
      </w:tr>
      <w:tr w:rsidR="009E7684" w:rsidRPr="00415BC9" w14:paraId="36A34441" w14:textId="77777777" w:rsidTr="00415BC9">
        <w:tc>
          <w:tcPr>
            <w:tcW w:w="2727" w:type="dxa"/>
            <w:shd w:val="clear" w:color="auto" w:fill="auto"/>
            <w:vAlign w:val="center"/>
          </w:tcPr>
          <w:p w14:paraId="54111A09" w14:textId="77777777" w:rsidR="009E7684" w:rsidRPr="00415BC9" w:rsidRDefault="009E7684" w:rsidP="00415BC9">
            <w:pPr>
              <w:spacing w:after="0" w:line="240" w:lineRule="auto"/>
              <w:rPr>
                <w:sz w:val="20"/>
                <w:szCs w:val="20"/>
                <w:lang w:val="en-US"/>
              </w:rPr>
            </w:pPr>
            <w:r w:rsidRPr="00415BC9">
              <w:rPr>
                <w:sz w:val="20"/>
                <w:szCs w:val="20"/>
                <w:lang w:val="en-US"/>
              </w:rPr>
              <w:t xml:space="preserve">Cement production – </w:t>
            </w:r>
          </w:p>
          <w:p w14:paraId="2F20A928" w14:textId="77777777" w:rsidR="009E7684" w:rsidRPr="00415BC9" w:rsidRDefault="009E7684" w:rsidP="00415BC9">
            <w:pPr>
              <w:spacing w:after="0" w:line="240" w:lineRule="auto"/>
              <w:rPr>
                <w:sz w:val="20"/>
                <w:szCs w:val="20"/>
                <w:lang w:val="en-US"/>
              </w:rPr>
            </w:pPr>
            <w:r w:rsidRPr="00415BC9">
              <w:rPr>
                <w:sz w:val="20"/>
                <w:szCs w:val="20"/>
                <w:lang w:val="en-US"/>
              </w:rPr>
              <w:t>Various technologies (bio-solid injection, selective non-catalytic reduction, mid-kiln firing)</w:t>
            </w:r>
          </w:p>
        </w:tc>
        <w:tc>
          <w:tcPr>
            <w:tcW w:w="2551" w:type="dxa"/>
            <w:shd w:val="clear" w:color="auto" w:fill="auto"/>
            <w:vAlign w:val="center"/>
          </w:tcPr>
          <w:p w14:paraId="13062DDD"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6F1A31F4"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5AFB4018"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73D6CCA1" w14:textId="77777777" w:rsidR="009E7684" w:rsidRPr="00415BC9" w:rsidRDefault="009E7684" w:rsidP="00415BC9">
            <w:pPr>
              <w:spacing w:after="0" w:line="240" w:lineRule="auto"/>
              <w:rPr>
                <w:sz w:val="20"/>
                <w:szCs w:val="20"/>
                <w:vertAlign w:val="superscript"/>
                <w:lang w:val="en-US"/>
              </w:rPr>
            </w:pPr>
            <w:r w:rsidRPr="00415BC9">
              <w:rPr>
                <w:sz w:val="20"/>
                <w:szCs w:val="20"/>
                <w:lang w:val="en-US"/>
              </w:rPr>
              <w:t xml:space="preserve">66-1,140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p>
          <w:p w14:paraId="12753C9E" w14:textId="77777777" w:rsidR="009E7684" w:rsidRPr="00415BC9" w:rsidRDefault="009E7684" w:rsidP="00415BC9">
            <w:pPr>
              <w:spacing w:after="0" w:line="240" w:lineRule="auto"/>
              <w:rPr>
                <w:sz w:val="20"/>
                <w:szCs w:val="20"/>
                <w:vertAlign w:val="superscript"/>
                <w:lang w:val="en-US"/>
              </w:rPr>
            </w:pPr>
            <w:r w:rsidRPr="00415BC9">
              <w:rPr>
                <w:sz w:val="20"/>
                <w:szCs w:val="20"/>
                <w:lang w:val="en-US"/>
              </w:rPr>
              <w:t>(EPA; 2015)</w:t>
            </w:r>
          </w:p>
        </w:tc>
      </w:tr>
      <w:tr w:rsidR="009E7684" w:rsidRPr="00415BC9" w14:paraId="67118684" w14:textId="77777777" w:rsidTr="00415BC9">
        <w:tc>
          <w:tcPr>
            <w:tcW w:w="2727" w:type="dxa"/>
            <w:shd w:val="clear" w:color="auto" w:fill="auto"/>
            <w:vAlign w:val="center"/>
          </w:tcPr>
          <w:p w14:paraId="307E36B3" w14:textId="77777777" w:rsidR="009E7684" w:rsidRPr="00415BC9" w:rsidRDefault="009E7684" w:rsidP="00415BC9">
            <w:pPr>
              <w:spacing w:after="0" w:line="240" w:lineRule="auto"/>
              <w:rPr>
                <w:sz w:val="20"/>
                <w:szCs w:val="20"/>
                <w:lang w:val="en-US"/>
              </w:rPr>
            </w:pPr>
            <w:r w:rsidRPr="00415BC9">
              <w:rPr>
                <w:sz w:val="20"/>
                <w:szCs w:val="20"/>
                <w:lang w:val="en-US"/>
              </w:rPr>
              <w:t xml:space="preserve">Gas turbines – </w:t>
            </w:r>
          </w:p>
          <w:p w14:paraId="750536A2" w14:textId="77777777" w:rsidR="009E7684" w:rsidRPr="00415BC9" w:rsidRDefault="009E7684" w:rsidP="00415BC9">
            <w:pPr>
              <w:spacing w:after="0" w:line="240" w:lineRule="auto"/>
              <w:rPr>
                <w:sz w:val="20"/>
                <w:szCs w:val="20"/>
                <w:lang w:val="en-US"/>
              </w:rPr>
            </w:pPr>
            <w:r w:rsidRPr="00415BC9">
              <w:rPr>
                <w:sz w:val="20"/>
                <w:szCs w:val="20"/>
                <w:lang w:val="en-US"/>
              </w:rPr>
              <w:t>low NO</w:t>
            </w:r>
            <w:r w:rsidRPr="00415BC9">
              <w:rPr>
                <w:sz w:val="20"/>
                <w:szCs w:val="20"/>
                <w:vertAlign w:val="subscript"/>
                <w:lang w:val="en-US"/>
              </w:rPr>
              <w:t>X</w:t>
            </w:r>
            <w:r w:rsidRPr="00415BC9">
              <w:rPr>
                <w:sz w:val="20"/>
                <w:szCs w:val="20"/>
                <w:lang w:val="en-US"/>
              </w:rPr>
              <w:t xml:space="preserve"> burner</w:t>
            </w:r>
          </w:p>
        </w:tc>
        <w:tc>
          <w:tcPr>
            <w:tcW w:w="2551" w:type="dxa"/>
            <w:shd w:val="clear" w:color="auto" w:fill="auto"/>
            <w:vAlign w:val="center"/>
          </w:tcPr>
          <w:p w14:paraId="640DDB3D"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02A08CB4"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64428B30"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67E29A50" w14:textId="77777777" w:rsidR="009E7684" w:rsidRPr="00415BC9" w:rsidRDefault="009E7684" w:rsidP="00415BC9">
            <w:pPr>
              <w:spacing w:after="0" w:line="240" w:lineRule="auto"/>
              <w:rPr>
                <w:sz w:val="20"/>
                <w:szCs w:val="20"/>
                <w:lang w:val="en-US"/>
              </w:rPr>
            </w:pPr>
            <w:r w:rsidRPr="00415BC9">
              <w:rPr>
                <w:sz w:val="20"/>
                <w:szCs w:val="20"/>
                <w:lang w:val="en-US"/>
              </w:rPr>
              <w:t xml:space="preserve">150-730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7B46D2CA"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06710354" w14:textId="77777777" w:rsidTr="00415BC9">
        <w:tc>
          <w:tcPr>
            <w:tcW w:w="2727" w:type="dxa"/>
            <w:shd w:val="clear" w:color="auto" w:fill="auto"/>
            <w:vAlign w:val="center"/>
          </w:tcPr>
          <w:p w14:paraId="26626EF7" w14:textId="77777777" w:rsidR="009E7684" w:rsidRPr="00415BC9" w:rsidRDefault="009E7684" w:rsidP="00415BC9">
            <w:pPr>
              <w:spacing w:after="0" w:line="240" w:lineRule="auto"/>
              <w:rPr>
                <w:sz w:val="20"/>
                <w:szCs w:val="20"/>
                <w:lang w:val="en-US"/>
              </w:rPr>
            </w:pPr>
            <w:r w:rsidRPr="00415BC9">
              <w:rPr>
                <w:sz w:val="20"/>
                <w:szCs w:val="20"/>
                <w:lang w:val="en-US"/>
              </w:rPr>
              <w:t>Natural gas – pipeline compressors and stationary combustion (miscellaneous technologies including non-selective catalytic reduction, low-emission combustion, ignition retardation, adjusted air-to-fuel ratio)</w:t>
            </w:r>
          </w:p>
        </w:tc>
        <w:tc>
          <w:tcPr>
            <w:tcW w:w="2551" w:type="dxa"/>
            <w:shd w:val="clear" w:color="auto" w:fill="auto"/>
            <w:vAlign w:val="center"/>
          </w:tcPr>
          <w:p w14:paraId="2947BA9F"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3FCF24C7"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08C2B6EB"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30F019EF" w14:textId="77777777" w:rsidR="009E7684" w:rsidRPr="00415BC9" w:rsidRDefault="009E7684" w:rsidP="00415BC9">
            <w:pPr>
              <w:spacing w:after="0" w:line="240" w:lineRule="auto"/>
              <w:rPr>
                <w:sz w:val="20"/>
                <w:szCs w:val="20"/>
                <w:lang w:val="en-US"/>
              </w:rPr>
            </w:pPr>
            <w:r w:rsidRPr="00415BC9">
              <w:rPr>
                <w:sz w:val="20"/>
                <w:szCs w:val="20"/>
                <w:lang w:val="en-US"/>
              </w:rPr>
              <w:t xml:space="preserve">230-590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061FA105"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1E54BADA" w14:textId="77777777" w:rsidTr="00415BC9">
        <w:tc>
          <w:tcPr>
            <w:tcW w:w="2727" w:type="dxa"/>
            <w:shd w:val="clear" w:color="auto" w:fill="auto"/>
            <w:vAlign w:val="center"/>
          </w:tcPr>
          <w:p w14:paraId="38995E12" w14:textId="77777777" w:rsidR="009E7684" w:rsidRPr="00415BC9" w:rsidRDefault="009E7684" w:rsidP="00415BC9">
            <w:pPr>
              <w:spacing w:after="0" w:line="240" w:lineRule="auto"/>
              <w:rPr>
                <w:sz w:val="20"/>
                <w:szCs w:val="20"/>
                <w:lang w:val="en-US"/>
              </w:rPr>
            </w:pPr>
            <w:r w:rsidRPr="00415BC9">
              <w:rPr>
                <w:sz w:val="20"/>
                <w:szCs w:val="20"/>
                <w:lang w:val="en-US"/>
              </w:rPr>
              <w:lastRenderedPageBreak/>
              <w:t xml:space="preserve">Iron and steel production – </w:t>
            </w:r>
          </w:p>
          <w:p w14:paraId="6EBAA6FD" w14:textId="77777777" w:rsidR="009E7684" w:rsidRPr="00415BC9" w:rsidRDefault="009E7684" w:rsidP="00415BC9">
            <w:pPr>
              <w:spacing w:after="0" w:line="240" w:lineRule="auto"/>
              <w:rPr>
                <w:sz w:val="20"/>
                <w:szCs w:val="20"/>
                <w:lang w:val="en-US"/>
              </w:rPr>
            </w:pPr>
            <w:r w:rsidRPr="00415BC9">
              <w:rPr>
                <w:sz w:val="20"/>
                <w:szCs w:val="20"/>
                <w:lang w:val="en-US"/>
              </w:rPr>
              <w:t>Low-NO</w:t>
            </w:r>
            <w:r w:rsidRPr="00415BC9">
              <w:rPr>
                <w:sz w:val="20"/>
                <w:szCs w:val="20"/>
                <w:vertAlign w:val="subscript"/>
                <w:lang w:val="en-US"/>
              </w:rPr>
              <w:t>X</w:t>
            </w:r>
            <w:r w:rsidRPr="00415BC9">
              <w:rPr>
                <w:sz w:val="20"/>
                <w:szCs w:val="20"/>
                <w:lang w:val="en-US"/>
              </w:rPr>
              <w:t xml:space="preserve"> burning combined with flue gas recirculation, selective catalytic reduction</w:t>
            </w:r>
          </w:p>
        </w:tc>
        <w:tc>
          <w:tcPr>
            <w:tcW w:w="2551" w:type="dxa"/>
            <w:shd w:val="clear" w:color="auto" w:fill="auto"/>
            <w:vAlign w:val="center"/>
          </w:tcPr>
          <w:p w14:paraId="09A51892"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1DAC58CE"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77D7A06A"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2631EA96" w14:textId="77777777" w:rsidR="009E7684" w:rsidRPr="00415BC9" w:rsidRDefault="009E7684" w:rsidP="00415BC9">
            <w:pPr>
              <w:spacing w:after="0" w:line="240" w:lineRule="auto"/>
              <w:rPr>
                <w:sz w:val="20"/>
                <w:szCs w:val="20"/>
                <w:lang w:val="en-US"/>
              </w:rPr>
            </w:pPr>
            <w:r w:rsidRPr="00415BC9">
              <w:rPr>
                <w:sz w:val="20"/>
                <w:szCs w:val="20"/>
                <w:lang w:val="en-US"/>
              </w:rPr>
              <w:t xml:space="preserve">560-3,370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64013B81"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30604C35" w14:textId="77777777" w:rsidTr="00415BC9">
        <w:tc>
          <w:tcPr>
            <w:tcW w:w="2727" w:type="dxa"/>
            <w:shd w:val="clear" w:color="auto" w:fill="auto"/>
            <w:vAlign w:val="center"/>
          </w:tcPr>
          <w:p w14:paraId="339101C1" w14:textId="77777777" w:rsidR="009E7684" w:rsidRPr="00415BC9" w:rsidRDefault="009E7684" w:rsidP="00415BC9">
            <w:pPr>
              <w:spacing w:after="0" w:line="240" w:lineRule="auto"/>
              <w:rPr>
                <w:sz w:val="20"/>
                <w:szCs w:val="20"/>
                <w:lang w:val="en-US"/>
              </w:rPr>
            </w:pPr>
            <w:r w:rsidRPr="00415BC9">
              <w:rPr>
                <w:sz w:val="20"/>
                <w:szCs w:val="20"/>
                <w:lang w:val="en-US"/>
              </w:rPr>
              <w:t>By-product coke manufacturing – selective non-catalytic reduction</w:t>
            </w:r>
          </w:p>
        </w:tc>
        <w:tc>
          <w:tcPr>
            <w:tcW w:w="2551" w:type="dxa"/>
            <w:shd w:val="clear" w:color="auto" w:fill="auto"/>
            <w:vAlign w:val="center"/>
          </w:tcPr>
          <w:p w14:paraId="5CFD2AAB"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775ACEFD"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71C3BD30"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7D3DCF3F" w14:textId="77777777" w:rsidR="009E7684" w:rsidRPr="00415BC9" w:rsidRDefault="009E7684" w:rsidP="00415BC9">
            <w:pPr>
              <w:spacing w:after="0" w:line="240" w:lineRule="auto"/>
              <w:rPr>
                <w:sz w:val="20"/>
                <w:szCs w:val="20"/>
                <w:lang w:val="en-US"/>
              </w:rPr>
            </w:pPr>
            <w:r w:rsidRPr="00415BC9">
              <w:rPr>
                <w:sz w:val="20"/>
                <w:szCs w:val="20"/>
                <w:lang w:val="en-US"/>
              </w:rPr>
              <w:t xml:space="preserve">820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4744AAFB"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12BB78BC" w14:textId="77777777" w:rsidTr="00415BC9">
        <w:tc>
          <w:tcPr>
            <w:tcW w:w="2727" w:type="dxa"/>
            <w:shd w:val="clear" w:color="auto" w:fill="auto"/>
            <w:vAlign w:val="center"/>
          </w:tcPr>
          <w:p w14:paraId="79584BBE" w14:textId="77777777" w:rsidR="009E7684" w:rsidRPr="00415BC9" w:rsidRDefault="009E7684" w:rsidP="00415BC9">
            <w:pPr>
              <w:spacing w:after="0" w:line="240" w:lineRule="auto"/>
              <w:rPr>
                <w:sz w:val="20"/>
                <w:szCs w:val="20"/>
                <w:lang w:val="en-US"/>
              </w:rPr>
            </w:pPr>
            <w:r w:rsidRPr="00415BC9">
              <w:rPr>
                <w:sz w:val="20"/>
                <w:szCs w:val="20"/>
                <w:lang w:val="en-US"/>
              </w:rPr>
              <w:t>Petroleum refining (incl. gas-fired processes) – selective catalytic reduction)</w:t>
            </w:r>
          </w:p>
        </w:tc>
        <w:tc>
          <w:tcPr>
            <w:tcW w:w="2551" w:type="dxa"/>
            <w:shd w:val="clear" w:color="auto" w:fill="auto"/>
            <w:vAlign w:val="center"/>
          </w:tcPr>
          <w:p w14:paraId="4B5EA498"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08DD3CB4"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2A6E84EE"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6CEE797F" w14:textId="77777777" w:rsidR="009E7684" w:rsidRPr="00415BC9" w:rsidRDefault="009E7684" w:rsidP="00415BC9">
            <w:pPr>
              <w:spacing w:after="0" w:line="240" w:lineRule="auto"/>
              <w:rPr>
                <w:sz w:val="20"/>
                <w:szCs w:val="20"/>
                <w:lang w:val="en-US"/>
              </w:rPr>
            </w:pPr>
            <w:r w:rsidRPr="00415BC9">
              <w:rPr>
                <w:sz w:val="20"/>
                <w:szCs w:val="20"/>
                <w:lang w:val="en-US"/>
              </w:rPr>
              <w:t xml:space="preserve">850-8,310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13B7F194"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53E7EBBA" w14:textId="77777777" w:rsidTr="00415BC9">
        <w:tc>
          <w:tcPr>
            <w:tcW w:w="2727" w:type="dxa"/>
            <w:shd w:val="clear" w:color="auto" w:fill="auto"/>
            <w:vAlign w:val="center"/>
          </w:tcPr>
          <w:p w14:paraId="3D138017" w14:textId="77777777" w:rsidR="009E7684" w:rsidRPr="00415BC9" w:rsidRDefault="009E7684" w:rsidP="00415BC9">
            <w:pPr>
              <w:spacing w:after="0" w:line="240" w:lineRule="auto"/>
              <w:rPr>
                <w:sz w:val="20"/>
                <w:szCs w:val="20"/>
                <w:lang w:val="en-US"/>
              </w:rPr>
            </w:pPr>
            <w:r w:rsidRPr="00415BC9">
              <w:rPr>
                <w:sz w:val="20"/>
                <w:szCs w:val="20"/>
                <w:lang w:val="en-US"/>
              </w:rPr>
              <w:t>Coal cleaning – thermal drying and low NO</w:t>
            </w:r>
            <w:r w:rsidRPr="00415BC9">
              <w:rPr>
                <w:sz w:val="20"/>
                <w:szCs w:val="20"/>
                <w:vertAlign w:val="subscript"/>
                <w:lang w:val="en-US"/>
              </w:rPr>
              <w:t>X</w:t>
            </w:r>
            <w:r w:rsidRPr="00415BC9">
              <w:rPr>
                <w:sz w:val="20"/>
                <w:szCs w:val="20"/>
                <w:lang w:val="en-US"/>
              </w:rPr>
              <w:t xml:space="preserve"> burning</w:t>
            </w:r>
          </w:p>
        </w:tc>
        <w:tc>
          <w:tcPr>
            <w:tcW w:w="2551" w:type="dxa"/>
            <w:shd w:val="clear" w:color="auto" w:fill="auto"/>
            <w:vAlign w:val="center"/>
          </w:tcPr>
          <w:p w14:paraId="3025CA3F"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34CCAF33"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2B6A08FA"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1DE7234F" w14:textId="77777777" w:rsidR="009E7684" w:rsidRPr="00415BC9" w:rsidRDefault="009E7684" w:rsidP="00415BC9">
            <w:pPr>
              <w:spacing w:after="0" w:line="240" w:lineRule="auto"/>
              <w:rPr>
                <w:sz w:val="20"/>
                <w:szCs w:val="20"/>
                <w:vertAlign w:val="superscript"/>
                <w:lang w:val="en-US"/>
              </w:rPr>
            </w:pPr>
            <w:r w:rsidRPr="00415BC9">
              <w:rPr>
                <w:sz w:val="20"/>
                <w:szCs w:val="20"/>
                <w:lang w:val="en-US"/>
              </w:rPr>
              <w:t xml:space="preserve">1,020-1,490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p>
          <w:p w14:paraId="474241ED"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297DE1F5" w14:textId="77777777" w:rsidTr="00415BC9">
        <w:tc>
          <w:tcPr>
            <w:tcW w:w="2727" w:type="dxa"/>
            <w:shd w:val="clear" w:color="auto" w:fill="auto"/>
            <w:vAlign w:val="center"/>
          </w:tcPr>
          <w:p w14:paraId="034B151E" w14:textId="77777777" w:rsidR="009E7684" w:rsidRPr="00415BC9" w:rsidRDefault="009E7684" w:rsidP="00415BC9">
            <w:pPr>
              <w:spacing w:after="0" w:line="240" w:lineRule="auto"/>
              <w:rPr>
                <w:sz w:val="20"/>
                <w:szCs w:val="20"/>
                <w:lang w:val="en-US"/>
              </w:rPr>
            </w:pPr>
            <w:r w:rsidRPr="00415BC9">
              <w:rPr>
                <w:sz w:val="20"/>
                <w:szCs w:val="20"/>
                <w:lang w:val="en-US"/>
              </w:rPr>
              <w:t>Stationary diesel and dual-fuel combustion (incl. for electricity generation) – ignition retardation, selective catalytic reduction</w:t>
            </w:r>
          </w:p>
        </w:tc>
        <w:tc>
          <w:tcPr>
            <w:tcW w:w="2551" w:type="dxa"/>
            <w:shd w:val="clear" w:color="auto" w:fill="auto"/>
            <w:vAlign w:val="center"/>
          </w:tcPr>
          <w:p w14:paraId="7275CB81"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2C0D0921"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0B240BBC"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00E2EF7C" w14:textId="77777777" w:rsidR="009E7684" w:rsidRPr="00415BC9" w:rsidRDefault="009E7684" w:rsidP="00415BC9">
            <w:pPr>
              <w:spacing w:after="0" w:line="240" w:lineRule="auto"/>
              <w:rPr>
                <w:sz w:val="20"/>
                <w:szCs w:val="20"/>
                <w:lang w:val="en-US"/>
              </w:rPr>
            </w:pPr>
            <w:r w:rsidRPr="00415BC9">
              <w:rPr>
                <w:sz w:val="20"/>
                <w:szCs w:val="20"/>
                <w:lang w:val="en-US"/>
              </w:rPr>
              <w:t xml:space="preserve">1,140-3,470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1D0A26C4"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262432A9" w14:textId="77777777" w:rsidTr="00415BC9">
        <w:tc>
          <w:tcPr>
            <w:tcW w:w="2727" w:type="dxa"/>
            <w:shd w:val="clear" w:color="auto" w:fill="auto"/>
            <w:vAlign w:val="center"/>
          </w:tcPr>
          <w:p w14:paraId="5D522E2F" w14:textId="77777777" w:rsidR="009E7684" w:rsidRPr="00415BC9" w:rsidRDefault="009E7684" w:rsidP="00415BC9">
            <w:pPr>
              <w:spacing w:after="0" w:line="240" w:lineRule="auto"/>
              <w:rPr>
                <w:sz w:val="20"/>
                <w:szCs w:val="20"/>
                <w:lang w:val="en-US"/>
              </w:rPr>
            </w:pPr>
            <w:r w:rsidRPr="00415BC9">
              <w:rPr>
                <w:sz w:val="20"/>
                <w:szCs w:val="20"/>
                <w:lang w:val="en-US"/>
              </w:rPr>
              <w:t xml:space="preserve">Incinerators – </w:t>
            </w:r>
          </w:p>
          <w:p w14:paraId="34C2AFC8" w14:textId="77777777" w:rsidR="009E7684" w:rsidRPr="00415BC9" w:rsidRDefault="009E7684" w:rsidP="00415BC9">
            <w:pPr>
              <w:spacing w:after="0" w:line="240" w:lineRule="auto"/>
              <w:rPr>
                <w:sz w:val="20"/>
                <w:szCs w:val="20"/>
                <w:lang w:val="en-US"/>
              </w:rPr>
            </w:pPr>
            <w:r w:rsidRPr="00415BC9">
              <w:rPr>
                <w:sz w:val="20"/>
                <w:szCs w:val="20"/>
                <w:lang w:val="en-US"/>
              </w:rPr>
              <w:t>selective non-catalytic reduction</w:t>
            </w:r>
          </w:p>
        </w:tc>
        <w:tc>
          <w:tcPr>
            <w:tcW w:w="2551" w:type="dxa"/>
            <w:shd w:val="clear" w:color="auto" w:fill="auto"/>
            <w:vAlign w:val="center"/>
          </w:tcPr>
          <w:p w14:paraId="2BDE60A0"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0D2DB338"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2D411DB2"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361D11E7" w14:textId="77777777" w:rsidR="009E7684" w:rsidRPr="00415BC9" w:rsidRDefault="009E7684" w:rsidP="00415BC9">
            <w:pPr>
              <w:spacing w:after="0" w:line="240" w:lineRule="auto"/>
              <w:rPr>
                <w:sz w:val="20"/>
                <w:szCs w:val="20"/>
                <w:lang w:val="en-US"/>
              </w:rPr>
            </w:pPr>
            <w:r w:rsidRPr="00415BC9">
              <w:rPr>
                <w:sz w:val="20"/>
                <w:szCs w:val="20"/>
                <w:lang w:val="en-US"/>
              </w:rPr>
              <w:t xml:space="preserve">1,670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14449566"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5B480DE0" w14:textId="77777777" w:rsidTr="00415BC9">
        <w:tc>
          <w:tcPr>
            <w:tcW w:w="2727" w:type="dxa"/>
            <w:shd w:val="clear" w:color="auto" w:fill="auto"/>
            <w:vAlign w:val="center"/>
          </w:tcPr>
          <w:p w14:paraId="55B8579B" w14:textId="77777777" w:rsidR="009E7684" w:rsidRPr="00415BC9" w:rsidRDefault="009E7684" w:rsidP="00415BC9">
            <w:pPr>
              <w:spacing w:after="0" w:line="240" w:lineRule="auto"/>
              <w:rPr>
                <w:sz w:val="20"/>
                <w:szCs w:val="20"/>
                <w:lang w:val="en-US"/>
              </w:rPr>
            </w:pPr>
            <w:r w:rsidRPr="00415BC9">
              <w:rPr>
                <w:sz w:val="20"/>
                <w:szCs w:val="20"/>
                <w:lang w:val="en-US"/>
              </w:rPr>
              <w:t>Process heaters (gas fired and others) – ultra-low NO</w:t>
            </w:r>
            <w:r w:rsidRPr="00415BC9">
              <w:rPr>
                <w:sz w:val="20"/>
                <w:szCs w:val="20"/>
                <w:vertAlign w:val="subscript"/>
                <w:lang w:val="en-US"/>
              </w:rPr>
              <w:t>X</w:t>
            </w:r>
            <w:r w:rsidRPr="00415BC9">
              <w:rPr>
                <w:sz w:val="20"/>
                <w:szCs w:val="20"/>
                <w:lang w:val="en-US"/>
              </w:rPr>
              <w:t xml:space="preserve"> burning, selective catalytic reduction</w:t>
            </w:r>
          </w:p>
        </w:tc>
        <w:tc>
          <w:tcPr>
            <w:tcW w:w="2551" w:type="dxa"/>
            <w:shd w:val="clear" w:color="auto" w:fill="auto"/>
            <w:vAlign w:val="center"/>
          </w:tcPr>
          <w:p w14:paraId="1C05C9D3"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251C6870"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4DDF60C9"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0D90DF88" w14:textId="77777777" w:rsidR="009E7684" w:rsidRPr="00415BC9" w:rsidRDefault="009E7684" w:rsidP="00415BC9">
            <w:pPr>
              <w:spacing w:after="0" w:line="240" w:lineRule="auto"/>
              <w:rPr>
                <w:sz w:val="20"/>
                <w:szCs w:val="20"/>
                <w:lang w:val="en-US"/>
              </w:rPr>
            </w:pPr>
            <w:r w:rsidRPr="00415BC9">
              <w:rPr>
                <w:sz w:val="20"/>
                <w:szCs w:val="20"/>
                <w:lang w:val="en-US"/>
              </w:rPr>
              <w:t xml:space="preserve">2,030-2,400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09DC1616"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3BCAFE6E" w14:textId="77777777" w:rsidTr="00415BC9">
        <w:tc>
          <w:tcPr>
            <w:tcW w:w="2727" w:type="dxa"/>
            <w:shd w:val="clear" w:color="auto" w:fill="auto"/>
            <w:vAlign w:val="center"/>
          </w:tcPr>
          <w:p w14:paraId="764939F1" w14:textId="77777777" w:rsidR="009E7684" w:rsidRPr="00415BC9" w:rsidRDefault="009E7684" w:rsidP="00415BC9">
            <w:pPr>
              <w:spacing w:after="0" w:line="240" w:lineRule="auto"/>
              <w:rPr>
                <w:sz w:val="20"/>
                <w:szCs w:val="20"/>
                <w:lang w:val="en-US"/>
              </w:rPr>
            </w:pPr>
            <w:r w:rsidRPr="00415BC9">
              <w:rPr>
                <w:sz w:val="20"/>
                <w:szCs w:val="20"/>
                <w:lang w:val="en-US"/>
              </w:rPr>
              <w:t>Natural gas stationary combustion for electricity generation – adjusted air to fuel ration and retarded ignition</w:t>
            </w:r>
          </w:p>
        </w:tc>
        <w:tc>
          <w:tcPr>
            <w:tcW w:w="2551" w:type="dxa"/>
            <w:shd w:val="clear" w:color="auto" w:fill="auto"/>
            <w:vAlign w:val="center"/>
          </w:tcPr>
          <w:p w14:paraId="7240BE25"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38CB8B5A"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73ADC38C"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6C33D97A" w14:textId="77777777" w:rsidR="009E7684" w:rsidRPr="00415BC9" w:rsidRDefault="009E7684" w:rsidP="00415BC9">
            <w:pPr>
              <w:spacing w:after="0" w:line="240" w:lineRule="auto"/>
              <w:rPr>
                <w:sz w:val="20"/>
                <w:szCs w:val="20"/>
                <w:lang w:val="en-US"/>
              </w:rPr>
            </w:pPr>
            <w:r w:rsidRPr="00415BC9">
              <w:rPr>
                <w:sz w:val="20"/>
                <w:szCs w:val="20"/>
                <w:lang w:val="en-US"/>
              </w:rPr>
              <w:t xml:space="preserve">2,130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1C2B14D5"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4B3FC971" w14:textId="77777777" w:rsidTr="00415BC9">
        <w:tc>
          <w:tcPr>
            <w:tcW w:w="2727" w:type="dxa"/>
            <w:shd w:val="clear" w:color="auto" w:fill="auto"/>
            <w:vAlign w:val="center"/>
          </w:tcPr>
          <w:p w14:paraId="758F8DA3" w14:textId="77777777" w:rsidR="009E7684" w:rsidRPr="00415BC9" w:rsidRDefault="009E7684" w:rsidP="00415BC9">
            <w:pPr>
              <w:spacing w:after="0" w:line="240" w:lineRule="auto"/>
              <w:rPr>
                <w:sz w:val="20"/>
                <w:szCs w:val="20"/>
                <w:lang w:val="en-US"/>
              </w:rPr>
            </w:pPr>
            <w:r w:rsidRPr="00415BC9">
              <w:rPr>
                <w:sz w:val="20"/>
                <w:szCs w:val="20"/>
                <w:lang w:val="en-US"/>
              </w:rPr>
              <w:t>Catalytic cracking, process heaters, coke ovens – flue gas recirculation, low-NO</w:t>
            </w:r>
            <w:r w:rsidRPr="00415BC9">
              <w:rPr>
                <w:sz w:val="20"/>
                <w:szCs w:val="20"/>
                <w:vertAlign w:val="subscript"/>
                <w:lang w:val="en-US"/>
              </w:rPr>
              <w:t>X</w:t>
            </w:r>
            <w:r w:rsidRPr="00415BC9">
              <w:rPr>
                <w:sz w:val="20"/>
                <w:szCs w:val="20"/>
                <w:lang w:val="en-US"/>
              </w:rPr>
              <w:t xml:space="preserve"> burning</w:t>
            </w:r>
          </w:p>
        </w:tc>
        <w:tc>
          <w:tcPr>
            <w:tcW w:w="2551" w:type="dxa"/>
            <w:shd w:val="clear" w:color="auto" w:fill="auto"/>
            <w:vAlign w:val="center"/>
          </w:tcPr>
          <w:p w14:paraId="1F399197"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7E930C91"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6A561826"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03E96537" w14:textId="77777777" w:rsidR="009E7684" w:rsidRPr="00415BC9" w:rsidRDefault="009E7684" w:rsidP="00415BC9">
            <w:pPr>
              <w:spacing w:after="0" w:line="240" w:lineRule="auto"/>
              <w:rPr>
                <w:sz w:val="20"/>
                <w:szCs w:val="20"/>
                <w:lang w:val="en-US"/>
              </w:rPr>
            </w:pPr>
            <w:r w:rsidRPr="00415BC9">
              <w:rPr>
                <w:sz w:val="20"/>
                <w:szCs w:val="20"/>
                <w:lang w:val="en-US"/>
              </w:rPr>
              <w:t xml:space="preserve">2,150-4,730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2BDCA8AD"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38AB293A" w14:textId="77777777" w:rsidTr="00415BC9">
        <w:tc>
          <w:tcPr>
            <w:tcW w:w="2727" w:type="dxa"/>
            <w:shd w:val="clear" w:color="auto" w:fill="auto"/>
            <w:vAlign w:val="center"/>
          </w:tcPr>
          <w:p w14:paraId="691FD0A9" w14:textId="77777777" w:rsidR="009E7684" w:rsidRPr="00415BC9" w:rsidRDefault="009E7684" w:rsidP="00415BC9">
            <w:pPr>
              <w:spacing w:after="0" w:line="240" w:lineRule="auto"/>
              <w:rPr>
                <w:sz w:val="20"/>
                <w:szCs w:val="20"/>
                <w:lang w:val="en-US"/>
              </w:rPr>
            </w:pPr>
            <w:r w:rsidRPr="00415BC9">
              <w:rPr>
                <w:sz w:val="20"/>
                <w:szCs w:val="20"/>
                <w:lang w:val="en-US"/>
              </w:rPr>
              <w:t>Boilers (Industrially-commercially-institutionally used, incl. coal and residual oil boilers) - low-NO</w:t>
            </w:r>
            <w:r w:rsidRPr="00415BC9">
              <w:rPr>
                <w:sz w:val="20"/>
                <w:szCs w:val="20"/>
                <w:vertAlign w:val="subscript"/>
                <w:lang w:val="en-US"/>
              </w:rPr>
              <w:t>X</w:t>
            </w:r>
            <w:r w:rsidRPr="00415BC9">
              <w:rPr>
                <w:sz w:val="20"/>
                <w:szCs w:val="20"/>
                <w:lang w:val="en-US"/>
              </w:rPr>
              <w:t xml:space="preserve"> burning </w:t>
            </w:r>
            <w:r w:rsidRPr="00415BC9">
              <w:rPr>
                <w:sz w:val="20"/>
                <w:szCs w:val="20"/>
                <w:lang w:val="en-US"/>
              </w:rPr>
              <w:lastRenderedPageBreak/>
              <w:t>combined with flue gas recirculation, selective catalytic  and non-catalytic reduction</w:t>
            </w:r>
          </w:p>
        </w:tc>
        <w:tc>
          <w:tcPr>
            <w:tcW w:w="2551" w:type="dxa"/>
            <w:shd w:val="clear" w:color="auto" w:fill="auto"/>
            <w:vAlign w:val="center"/>
          </w:tcPr>
          <w:p w14:paraId="0494D0B8" w14:textId="77777777" w:rsidR="009E7684" w:rsidRPr="00415BC9" w:rsidRDefault="009E7684" w:rsidP="00415BC9">
            <w:pPr>
              <w:spacing w:after="0" w:line="240" w:lineRule="auto"/>
              <w:rPr>
                <w:sz w:val="20"/>
                <w:szCs w:val="20"/>
                <w:lang w:val="en-US"/>
              </w:rPr>
            </w:pPr>
            <w:r w:rsidRPr="00415BC9">
              <w:rPr>
                <w:sz w:val="20"/>
                <w:szCs w:val="20"/>
                <w:lang w:val="en-US"/>
              </w:rPr>
              <w:lastRenderedPageBreak/>
              <w:t>-</w:t>
            </w:r>
          </w:p>
        </w:tc>
        <w:tc>
          <w:tcPr>
            <w:tcW w:w="2268" w:type="dxa"/>
            <w:shd w:val="clear" w:color="auto" w:fill="auto"/>
            <w:vAlign w:val="center"/>
          </w:tcPr>
          <w:p w14:paraId="5C17D6D8"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1999F88F"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42E1427E" w14:textId="77777777" w:rsidR="009E7684" w:rsidRPr="00415BC9" w:rsidRDefault="009E7684" w:rsidP="00415BC9">
            <w:pPr>
              <w:spacing w:after="0" w:line="240" w:lineRule="auto"/>
              <w:rPr>
                <w:sz w:val="20"/>
                <w:szCs w:val="20"/>
                <w:lang w:val="en-US"/>
              </w:rPr>
            </w:pPr>
            <w:r w:rsidRPr="00415BC9">
              <w:rPr>
                <w:sz w:val="20"/>
                <w:szCs w:val="20"/>
                <w:lang w:val="en-US"/>
              </w:rPr>
              <w:t xml:space="preserve">2,190-3,140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56C0AC9F"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1F83614A" w14:textId="77777777" w:rsidTr="00415BC9">
        <w:tc>
          <w:tcPr>
            <w:tcW w:w="2727" w:type="dxa"/>
            <w:shd w:val="clear" w:color="auto" w:fill="auto"/>
            <w:vAlign w:val="center"/>
          </w:tcPr>
          <w:p w14:paraId="19596B44" w14:textId="77777777" w:rsidR="009E7684" w:rsidRPr="00415BC9" w:rsidRDefault="009E7684" w:rsidP="00415BC9">
            <w:pPr>
              <w:spacing w:after="0" w:line="240" w:lineRule="auto"/>
              <w:rPr>
                <w:sz w:val="20"/>
                <w:szCs w:val="20"/>
                <w:lang w:val="en-US"/>
              </w:rPr>
            </w:pPr>
            <w:r w:rsidRPr="00415BC9">
              <w:rPr>
                <w:sz w:val="20"/>
                <w:szCs w:val="20"/>
                <w:lang w:val="en-US"/>
              </w:rPr>
              <w:t xml:space="preserve">Nitric acid production – </w:t>
            </w:r>
          </w:p>
          <w:p w14:paraId="1674D756" w14:textId="77777777" w:rsidR="009E7684" w:rsidRPr="00415BC9" w:rsidRDefault="009E7684" w:rsidP="00415BC9">
            <w:pPr>
              <w:spacing w:after="0" w:line="240" w:lineRule="auto"/>
              <w:rPr>
                <w:sz w:val="20"/>
                <w:szCs w:val="20"/>
                <w:lang w:val="en-US"/>
              </w:rPr>
            </w:pPr>
            <w:r w:rsidRPr="00415BC9">
              <w:rPr>
                <w:sz w:val="20"/>
                <w:szCs w:val="20"/>
                <w:lang w:val="en-US"/>
              </w:rPr>
              <w:t>non-selective catalytic reduction</w:t>
            </w:r>
          </w:p>
        </w:tc>
        <w:tc>
          <w:tcPr>
            <w:tcW w:w="2551" w:type="dxa"/>
            <w:shd w:val="clear" w:color="auto" w:fill="auto"/>
            <w:vAlign w:val="center"/>
          </w:tcPr>
          <w:p w14:paraId="1B75CA99"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10EA0695"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7D0B420A"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33F17783" w14:textId="77777777" w:rsidR="009E7684" w:rsidRPr="00415BC9" w:rsidRDefault="009E7684" w:rsidP="00415BC9">
            <w:pPr>
              <w:spacing w:after="0" w:line="240" w:lineRule="auto"/>
              <w:rPr>
                <w:sz w:val="20"/>
                <w:szCs w:val="20"/>
                <w:lang w:val="en-US"/>
              </w:rPr>
            </w:pPr>
            <w:r w:rsidRPr="00415BC9">
              <w:rPr>
                <w:sz w:val="20"/>
                <w:szCs w:val="20"/>
                <w:lang w:val="en-US"/>
              </w:rPr>
              <w:t xml:space="preserve">2,430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5182BC6C"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732C9E6B" w14:textId="77777777" w:rsidTr="00415BC9">
        <w:tc>
          <w:tcPr>
            <w:tcW w:w="2727" w:type="dxa"/>
            <w:shd w:val="clear" w:color="auto" w:fill="auto"/>
            <w:vAlign w:val="center"/>
          </w:tcPr>
          <w:p w14:paraId="0E38167F" w14:textId="77777777" w:rsidR="009E7684" w:rsidRPr="00415BC9" w:rsidRDefault="009E7684" w:rsidP="00415BC9">
            <w:pPr>
              <w:spacing w:after="0" w:line="240" w:lineRule="auto"/>
              <w:rPr>
                <w:sz w:val="20"/>
                <w:szCs w:val="20"/>
                <w:lang w:val="en-US"/>
              </w:rPr>
            </w:pPr>
            <w:r w:rsidRPr="00415BC9">
              <w:rPr>
                <w:sz w:val="20"/>
                <w:szCs w:val="20"/>
                <w:lang w:val="en-US"/>
              </w:rPr>
              <w:t xml:space="preserve">Ammonia production – </w:t>
            </w:r>
          </w:p>
          <w:p w14:paraId="18C3CBF9" w14:textId="77777777" w:rsidR="009E7684" w:rsidRPr="00415BC9" w:rsidRDefault="009E7684" w:rsidP="00415BC9">
            <w:pPr>
              <w:spacing w:after="0" w:line="240" w:lineRule="auto"/>
              <w:rPr>
                <w:sz w:val="20"/>
                <w:szCs w:val="20"/>
                <w:lang w:val="en-US"/>
              </w:rPr>
            </w:pPr>
            <w:r w:rsidRPr="00415BC9">
              <w:rPr>
                <w:sz w:val="20"/>
                <w:szCs w:val="20"/>
                <w:lang w:val="en-US"/>
              </w:rPr>
              <w:t>selective catalytic reduction</w:t>
            </w:r>
          </w:p>
        </w:tc>
        <w:tc>
          <w:tcPr>
            <w:tcW w:w="2551" w:type="dxa"/>
            <w:shd w:val="clear" w:color="auto" w:fill="auto"/>
            <w:vAlign w:val="center"/>
          </w:tcPr>
          <w:p w14:paraId="2A74CE06"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5E10895B"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3B724558"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29DB2047" w14:textId="77777777" w:rsidR="009E7684" w:rsidRPr="00415BC9" w:rsidRDefault="009E7684" w:rsidP="00415BC9">
            <w:pPr>
              <w:spacing w:after="0" w:line="240" w:lineRule="auto"/>
              <w:rPr>
                <w:sz w:val="20"/>
                <w:szCs w:val="20"/>
                <w:lang w:val="en-US"/>
              </w:rPr>
            </w:pPr>
            <w:r w:rsidRPr="00415BC9">
              <w:rPr>
                <w:sz w:val="20"/>
                <w:szCs w:val="20"/>
                <w:lang w:val="en-US"/>
              </w:rPr>
              <w:t xml:space="preserve">2,630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56721F6E"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0DC977D9" w14:textId="77777777" w:rsidTr="00415BC9">
        <w:tc>
          <w:tcPr>
            <w:tcW w:w="2727" w:type="dxa"/>
            <w:shd w:val="clear" w:color="auto" w:fill="auto"/>
            <w:vAlign w:val="center"/>
          </w:tcPr>
          <w:p w14:paraId="11C65873" w14:textId="77777777" w:rsidR="009E7684" w:rsidRPr="00415BC9" w:rsidRDefault="009E7684" w:rsidP="00415BC9">
            <w:pPr>
              <w:spacing w:after="0" w:line="240" w:lineRule="auto"/>
              <w:rPr>
                <w:sz w:val="20"/>
                <w:szCs w:val="20"/>
                <w:lang w:val="en-US"/>
              </w:rPr>
            </w:pPr>
            <w:r w:rsidRPr="00415BC9">
              <w:rPr>
                <w:sz w:val="20"/>
                <w:szCs w:val="20"/>
                <w:lang w:val="en-US"/>
              </w:rPr>
              <w:t xml:space="preserve">Glass manufacturing – </w:t>
            </w:r>
          </w:p>
          <w:p w14:paraId="013BE4B6" w14:textId="77777777" w:rsidR="009E7684" w:rsidRPr="00415BC9" w:rsidRDefault="009E7684" w:rsidP="00415BC9">
            <w:pPr>
              <w:spacing w:after="0" w:line="240" w:lineRule="auto"/>
              <w:rPr>
                <w:sz w:val="20"/>
                <w:szCs w:val="20"/>
                <w:lang w:val="en-US"/>
              </w:rPr>
            </w:pPr>
            <w:r w:rsidRPr="00415BC9">
              <w:rPr>
                <w:sz w:val="20"/>
                <w:szCs w:val="20"/>
                <w:lang w:val="en-US"/>
              </w:rPr>
              <w:t>OXY firing</w:t>
            </w:r>
          </w:p>
        </w:tc>
        <w:tc>
          <w:tcPr>
            <w:tcW w:w="2551" w:type="dxa"/>
            <w:shd w:val="clear" w:color="auto" w:fill="auto"/>
            <w:vAlign w:val="center"/>
          </w:tcPr>
          <w:p w14:paraId="71C1BEAE"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30BD0BA1"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5F73EC97"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7D48332B" w14:textId="77777777" w:rsidR="009E7684" w:rsidRPr="00415BC9" w:rsidRDefault="009E7684" w:rsidP="00415BC9">
            <w:pPr>
              <w:spacing w:after="0" w:line="240" w:lineRule="auto"/>
              <w:rPr>
                <w:sz w:val="20"/>
                <w:szCs w:val="20"/>
                <w:lang w:val="en-US"/>
              </w:rPr>
            </w:pPr>
            <w:r w:rsidRPr="00415BC9">
              <w:rPr>
                <w:sz w:val="20"/>
                <w:szCs w:val="20"/>
                <w:lang w:val="en-US"/>
              </w:rPr>
              <w:t xml:space="preserve">2,820-6,800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55E0026A"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5FFC460F" w14:textId="77777777" w:rsidTr="00415BC9">
        <w:tc>
          <w:tcPr>
            <w:tcW w:w="2727" w:type="dxa"/>
            <w:shd w:val="clear" w:color="auto" w:fill="auto"/>
            <w:vAlign w:val="center"/>
          </w:tcPr>
          <w:p w14:paraId="0507836C" w14:textId="77777777" w:rsidR="009E7684" w:rsidRPr="00415BC9" w:rsidRDefault="009E7684" w:rsidP="00415BC9">
            <w:pPr>
              <w:spacing w:after="0" w:line="240" w:lineRule="auto"/>
              <w:rPr>
                <w:sz w:val="20"/>
                <w:szCs w:val="20"/>
                <w:lang w:val="en-US"/>
              </w:rPr>
            </w:pPr>
            <w:r w:rsidRPr="00415BC9">
              <w:rPr>
                <w:sz w:val="20"/>
                <w:szCs w:val="20"/>
                <w:lang w:val="en-US"/>
              </w:rPr>
              <w:t>Miscellaneous industrial processes – flue gas recirculation, low-NO</w:t>
            </w:r>
            <w:r w:rsidRPr="00415BC9">
              <w:rPr>
                <w:sz w:val="20"/>
                <w:szCs w:val="20"/>
                <w:vertAlign w:val="subscript"/>
                <w:lang w:val="en-US"/>
              </w:rPr>
              <w:t>X</w:t>
            </w:r>
            <w:r w:rsidRPr="00415BC9">
              <w:rPr>
                <w:sz w:val="20"/>
                <w:szCs w:val="20"/>
                <w:lang w:val="en-US"/>
              </w:rPr>
              <w:t xml:space="preserve"> burning</w:t>
            </w:r>
          </w:p>
        </w:tc>
        <w:tc>
          <w:tcPr>
            <w:tcW w:w="2551" w:type="dxa"/>
            <w:shd w:val="clear" w:color="auto" w:fill="auto"/>
            <w:vAlign w:val="center"/>
          </w:tcPr>
          <w:p w14:paraId="0C497392"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78E35764"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449C8FBD"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45431B9A" w14:textId="77777777" w:rsidR="009E7684" w:rsidRPr="00415BC9" w:rsidRDefault="009E7684" w:rsidP="00415BC9">
            <w:pPr>
              <w:spacing w:after="0" w:line="240" w:lineRule="auto"/>
              <w:rPr>
                <w:sz w:val="20"/>
                <w:szCs w:val="20"/>
                <w:lang w:val="en-US"/>
              </w:rPr>
            </w:pPr>
            <w:r w:rsidRPr="00415BC9">
              <w:rPr>
                <w:sz w:val="20"/>
                <w:szCs w:val="20"/>
                <w:lang w:val="en-US"/>
              </w:rPr>
              <w:t xml:space="preserve">3,660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3A86C9E6"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r w:rsidR="009E7684" w:rsidRPr="00415BC9" w14:paraId="6FA0D89A" w14:textId="77777777" w:rsidTr="00415BC9">
        <w:tc>
          <w:tcPr>
            <w:tcW w:w="2727" w:type="dxa"/>
            <w:shd w:val="clear" w:color="auto" w:fill="auto"/>
            <w:vAlign w:val="center"/>
          </w:tcPr>
          <w:p w14:paraId="6C188E8E" w14:textId="77777777" w:rsidR="009E7684" w:rsidRPr="00415BC9" w:rsidRDefault="009E7684" w:rsidP="00415BC9">
            <w:pPr>
              <w:spacing w:after="0" w:line="240" w:lineRule="auto"/>
              <w:rPr>
                <w:sz w:val="20"/>
                <w:szCs w:val="20"/>
                <w:lang w:val="en-US"/>
              </w:rPr>
            </w:pPr>
            <w:r w:rsidRPr="00415BC9">
              <w:rPr>
                <w:sz w:val="20"/>
                <w:szCs w:val="20"/>
                <w:lang w:val="en-US"/>
              </w:rPr>
              <w:t>Taconite ore processing – selective catalytic reduction</w:t>
            </w:r>
          </w:p>
        </w:tc>
        <w:tc>
          <w:tcPr>
            <w:tcW w:w="2551" w:type="dxa"/>
            <w:shd w:val="clear" w:color="auto" w:fill="auto"/>
            <w:vAlign w:val="center"/>
          </w:tcPr>
          <w:p w14:paraId="0521C704"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268" w:type="dxa"/>
            <w:shd w:val="clear" w:color="auto" w:fill="auto"/>
            <w:vAlign w:val="center"/>
          </w:tcPr>
          <w:p w14:paraId="7BDC8771"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3119" w:type="dxa"/>
            <w:shd w:val="clear" w:color="auto" w:fill="auto"/>
            <w:vAlign w:val="center"/>
          </w:tcPr>
          <w:p w14:paraId="5644F395" w14:textId="77777777" w:rsidR="009E7684" w:rsidRPr="00415BC9" w:rsidRDefault="009E7684" w:rsidP="00415BC9">
            <w:pPr>
              <w:spacing w:after="0" w:line="240" w:lineRule="auto"/>
              <w:rPr>
                <w:sz w:val="20"/>
                <w:szCs w:val="20"/>
                <w:lang w:val="en-US"/>
              </w:rPr>
            </w:pPr>
            <w:r w:rsidRPr="00415BC9">
              <w:rPr>
                <w:sz w:val="20"/>
                <w:szCs w:val="20"/>
                <w:lang w:val="en-US"/>
              </w:rPr>
              <w:t>-</w:t>
            </w:r>
          </w:p>
        </w:tc>
        <w:tc>
          <w:tcPr>
            <w:tcW w:w="2629" w:type="dxa"/>
            <w:shd w:val="clear" w:color="auto" w:fill="auto"/>
            <w:vAlign w:val="center"/>
          </w:tcPr>
          <w:p w14:paraId="2E418CF2" w14:textId="77777777" w:rsidR="009E7684" w:rsidRPr="00415BC9" w:rsidRDefault="009E7684" w:rsidP="00415BC9">
            <w:pPr>
              <w:spacing w:after="0" w:line="240" w:lineRule="auto"/>
              <w:rPr>
                <w:sz w:val="20"/>
                <w:szCs w:val="20"/>
                <w:lang w:val="en-US"/>
              </w:rPr>
            </w:pPr>
            <w:r w:rsidRPr="00415BC9">
              <w:rPr>
                <w:sz w:val="20"/>
                <w:szCs w:val="20"/>
                <w:lang w:val="en-US"/>
              </w:rPr>
              <w:t xml:space="preserve">5,860 EUR/t </w:t>
            </w:r>
            <w:proofErr w:type="spellStart"/>
            <w:r w:rsidRPr="00415BC9">
              <w:rPr>
                <w:sz w:val="20"/>
                <w:szCs w:val="20"/>
                <w:lang w:val="en-US"/>
              </w:rPr>
              <w:t>NO</w:t>
            </w:r>
            <w:r w:rsidRPr="00415BC9">
              <w:rPr>
                <w:sz w:val="20"/>
                <w:szCs w:val="20"/>
                <w:vertAlign w:val="subscript"/>
                <w:lang w:val="en-US"/>
              </w:rPr>
              <w:t>X</w:t>
            </w:r>
            <w:r w:rsidRPr="00415BC9">
              <w:rPr>
                <w:sz w:val="20"/>
                <w:szCs w:val="20"/>
                <w:vertAlign w:val="superscript"/>
                <w:lang w:val="en-US"/>
              </w:rPr>
              <w:t>f</w:t>
            </w:r>
            <w:proofErr w:type="spellEnd"/>
            <w:r w:rsidRPr="00415BC9">
              <w:rPr>
                <w:sz w:val="20"/>
                <w:szCs w:val="20"/>
                <w:lang w:val="en-US"/>
              </w:rPr>
              <w:t xml:space="preserve"> </w:t>
            </w:r>
          </w:p>
          <w:p w14:paraId="23C8F662" w14:textId="77777777" w:rsidR="009E7684" w:rsidRPr="00415BC9" w:rsidRDefault="009E7684" w:rsidP="00415BC9">
            <w:pPr>
              <w:spacing w:after="0" w:line="240" w:lineRule="auto"/>
              <w:rPr>
                <w:sz w:val="20"/>
                <w:szCs w:val="20"/>
                <w:lang w:val="en-US"/>
              </w:rPr>
            </w:pPr>
            <w:r w:rsidRPr="00415BC9">
              <w:rPr>
                <w:sz w:val="20"/>
                <w:szCs w:val="20"/>
                <w:lang w:val="en-US"/>
              </w:rPr>
              <w:t>(EPA; 2015)</w:t>
            </w:r>
          </w:p>
        </w:tc>
      </w:tr>
    </w:tbl>
    <w:p w14:paraId="08A28555" w14:textId="77777777" w:rsidR="009E7684" w:rsidRDefault="009E7684" w:rsidP="009E7684">
      <w:pPr>
        <w:spacing w:after="0" w:line="240" w:lineRule="auto"/>
        <w:rPr>
          <w:sz w:val="20"/>
          <w:szCs w:val="20"/>
          <w:lang w:val="en-US"/>
        </w:rPr>
      </w:pPr>
      <w:proofErr w:type="spellStart"/>
      <w:r w:rsidRPr="00733B81">
        <w:rPr>
          <w:sz w:val="20"/>
          <w:szCs w:val="20"/>
          <w:vertAlign w:val="superscript"/>
          <w:lang w:val="en-US"/>
        </w:rPr>
        <w:t>a</w:t>
      </w:r>
      <w:proofErr w:type="spellEnd"/>
      <w:r w:rsidRPr="00733B81">
        <w:rPr>
          <w:sz w:val="20"/>
          <w:szCs w:val="20"/>
          <w:vertAlign w:val="superscript"/>
          <w:lang w:val="en-US"/>
        </w:rPr>
        <w:t xml:space="preserve"> </w:t>
      </w:r>
      <w:r w:rsidRPr="00733B81">
        <w:rPr>
          <w:sz w:val="20"/>
          <w:szCs w:val="20"/>
          <w:lang w:val="en-US"/>
        </w:rPr>
        <w:t xml:space="preserve">We </w:t>
      </w:r>
      <w:r>
        <w:rPr>
          <w:sz w:val="20"/>
          <w:szCs w:val="20"/>
          <w:lang w:val="en-US"/>
        </w:rPr>
        <w:t xml:space="preserve">uniformly </w:t>
      </w:r>
      <w:r w:rsidRPr="00733B81">
        <w:rPr>
          <w:sz w:val="20"/>
          <w:szCs w:val="20"/>
          <w:lang w:val="en-US"/>
        </w:rPr>
        <w:t>assume an exchange rate of 1.10 USD/EUR</w:t>
      </w:r>
      <w:r>
        <w:rPr>
          <w:sz w:val="20"/>
          <w:szCs w:val="20"/>
          <w:lang w:val="en-US"/>
        </w:rPr>
        <w:t xml:space="preserve">. </w:t>
      </w:r>
    </w:p>
    <w:p w14:paraId="5DE1CB3E" w14:textId="77777777" w:rsidR="009E7684" w:rsidRDefault="009E7684" w:rsidP="009E7684">
      <w:pPr>
        <w:spacing w:after="0" w:line="240" w:lineRule="auto"/>
        <w:rPr>
          <w:sz w:val="20"/>
          <w:szCs w:val="20"/>
          <w:lang w:val="en-US"/>
        </w:rPr>
      </w:pPr>
      <w:r w:rsidRPr="00733B81">
        <w:rPr>
          <w:sz w:val="20"/>
          <w:szCs w:val="20"/>
          <w:vertAlign w:val="superscript"/>
          <w:lang w:val="en-US"/>
        </w:rPr>
        <w:t>b</w:t>
      </w:r>
      <w:r>
        <w:rPr>
          <w:sz w:val="20"/>
          <w:szCs w:val="20"/>
          <w:lang w:val="en-US"/>
        </w:rPr>
        <w:t xml:space="preserve"> We assume</w:t>
      </w:r>
      <w:r w:rsidRPr="00733B81">
        <w:rPr>
          <w:sz w:val="20"/>
          <w:szCs w:val="20"/>
          <w:lang w:val="en-US"/>
        </w:rPr>
        <w:t xml:space="preserve"> for the lower margin a cost reduction of 30</w:t>
      </w:r>
      <w:r>
        <w:rPr>
          <w:sz w:val="20"/>
          <w:szCs w:val="20"/>
          <w:lang w:val="en-US"/>
        </w:rPr>
        <w:t xml:space="preserve">% </w:t>
      </w:r>
      <w:r w:rsidRPr="00733B81">
        <w:rPr>
          <w:sz w:val="20"/>
          <w:szCs w:val="20"/>
          <w:lang w:val="en-US"/>
        </w:rPr>
        <w:t>between 2012 and 2017.</w:t>
      </w:r>
    </w:p>
    <w:p w14:paraId="3A3F00A9" w14:textId="7241728B" w:rsidR="009E7684" w:rsidRDefault="009E7684" w:rsidP="009E7684">
      <w:pPr>
        <w:spacing w:after="0" w:line="240" w:lineRule="auto"/>
        <w:rPr>
          <w:sz w:val="20"/>
          <w:szCs w:val="20"/>
          <w:lang w:val="en-US"/>
        </w:rPr>
      </w:pPr>
      <w:r w:rsidRPr="0015718C">
        <w:rPr>
          <w:sz w:val="20"/>
          <w:szCs w:val="20"/>
          <w:vertAlign w:val="superscript"/>
          <w:lang w:val="en-US"/>
        </w:rPr>
        <w:t>c</w:t>
      </w:r>
      <w:r w:rsidR="00E41A20">
        <w:rPr>
          <w:sz w:val="20"/>
          <w:szCs w:val="20"/>
          <w:lang w:val="en-US"/>
        </w:rPr>
        <w:t xml:space="preserve"> We assume </w:t>
      </w:r>
      <w:r>
        <w:rPr>
          <w:sz w:val="20"/>
          <w:szCs w:val="20"/>
          <w:lang w:val="en-US"/>
        </w:rPr>
        <w:t>consumpti</w:t>
      </w:r>
      <w:r w:rsidR="00E41A20">
        <w:rPr>
          <w:sz w:val="20"/>
          <w:szCs w:val="20"/>
          <w:lang w:val="en-US"/>
        </w:rPr>
        <w:t>on and price of urea solution to be</w:t>
      </w:r>
      <w:r>
        <w:rPr>
          <w:sz w:val="20"/>
          <w:szCs w:val="20"/>
          <w:lang w:val="en-US"/>
        </w:rPr>
        <w:t xml:space="preserve"> 1.5 l</w:t>
      </w:r>
      <w:r w:rsidRPr="00C665F0">
        <w:rPr>
          <w:sz w:val="20"/>
          <w:szCs w:val="20"/>
          <w:lang w:val="en-US"/>
        </w:rPr>
        <w:t xml:space="preserve"> per 1</w:t>
      </w:r>
      <w:r>
        <w:rPr>
          <w:sz w:val="20"/>
          <w:szCs w:val="20"/>
          <w:lang w:val="en-US"/>
        </w:rPr>
        <w:t>,</w:t>
      </w:r>
      <w:r w:rsidRPr="00C665F0">
        <w:rPr>
          <w:sz w:val="20"/>
          <w:szCs w:val="20"/>
          <w:lang w:val="en-US"/>
        </w:rPr>
        <w:t xml:space="preserve">000 </w:t>
      </w:r>
      <w:r>
        <w:rPr>
          <w:sz w:val="20"/>
          <w:szCs w:val="20"/>
          <w:lang w:val="en-US"/>
        </w:rPr>
        <w:t>km and  1.10 EUR/l, respectively.</w:t>
      </w:r>
    </w:p>
    <w:p w14:paraId="1E0925E5" w14:textId="6D8AD29C" w:rsidR="009E7684" w:rsidRDefault="009E7684" w:rsidP="009E7684">
      <w:pPr>
        <w:spacing w:after="0" w:line="240" w:lineRule="auto"/>
        <w:rPr>
          <w:sz w:val="20"/>
          <w:szCs w:val="20"/>
          <w:lang w:val="en-US"/>
        </w:rPr>
      </w:pPr>
      <w:r w:rsidRPr="00D86F05">
        <w:rPr>
          <w:sz w:val="20"/>
          <w:szCs w:val="20"/>
          <w:vertAlign w:val="superscript"/>
          <w:lang w:val="en-US"/>
        </w:rPr>
        <w:t>d</w:t>
      </w:r>
      <w:r>
        <w:rPr>
          <w:sz w:val="20"/>
          <w:szCs w:val="20"/>
          <w:lang w:val="en-US"/>
        </w:rPr>
        <w:t xml:space="preserve"> In the case of after-treatment te</w:t>
      </w:r>
      <w:r w:rsidR="00415BC9">
        <w:rPr>
          <w:sz w:val="20"/>
          <w:szCs w:val="20"/>
          <w:lang w:val="en-US"/>
        </w:rPr>
        <w:t>chnologies for light-duty vehicles</w:t>
      </w:r>
      <w:r>
        <w:rPr>
          <w:sz w:val="20"/>
          <w:szCs w:val="20"/>
          <w:lang w:val="en-US"/>
        </w:rPr>
        <w:t>, we  assume technology levels necessary to comply with the Euro 6 emissions limits for light-duty vehicles.</w:t>
      </w:r>
    </w:p>
    <w:p w14:paraId="5FFF7524" w14:textId="77777777" w:rsidR="009E7684" w:rsidRDefault="009E7684" w:rsidP="009E7684">
      <w:pPr>
        <w:spacing w:after="0" w:line="240" w:lineRule="auto"/>
        <w:rPr>
          <w:sz w:val="20"/>
          <w:szCs w:val="20"/>
          <w:lang w:val="en-US"/>
        </w:rPr>
      </w:pPr>
      <w:r w:rsidRPr="006D1376">
        <w:rPr>
          <w:sz w:val="20"/>
          <w:szCs w:val="20"/>
          <w:vertAlign w:val="superscript"/>
          <w:lang w:val="en-US"/>
        </w:rPr>
        <w:t>e</w:t>
      </w:r>
      <w:r>
        <w:rPr>
          <w:sz w:val="20"/>
          <w:szCs w:val="20"/>
          <w:lang w:val="en-US"/>
        </w:rPr>
        <w:t xml:space="preserve"> Considering production costs only.</w:t>
      </w:r>
    </w:p>
    <w:p w14:paraId="663DD3B2" w14:textId="77777777" w:rsidR="009E7684" w:rsidRDefault="009E7684" w:rsidP="009E7684">
      <w:pPr>
        <w:spacing w:after="0" w:line="240" w:lineRule="auto"/>
        <w:rPr>
          <w:sz w:val="20"/>
          <w:szCs w:val="20"/>
          <w:lang w:val="en-US"/>
        </w:rPr>
      </w:pPr>
      <w:r w:rsidRPr="00696B54">
        <w:rPr>
          <w:sz w:val="20"/>
          <w:szCs w:val="20"/>
          <w:vertAlign w:val="superscript"/>
          <w:lang w:val="en-US"/>
        </w:rPr>
        <w:t>f</w:t>
      </w:r>
      <w:r>
        <w:rPr>
          <w:sz w:val="20"/>
          <w:szCs w:val="20"/>
          <w:lang w:val="en-US"/>
        </w:rPr>
        <w:t xml:space="preserve"> Rough estimate based on costs given by EPA (2015) in USD</w:t>
      </w:r>
      <w:r w:rsidRPr="00696B54">
        <w:rPr>
          <w:sz w:val="20"/>
          <w:szCs w:val="20"/>
          <w:vertAlign w:val="subscript"/>
          <w:lang w:val="en-US"/>
        </w:rPr>
        <w:t>2011</w:t>
      </w:r>
      <w:r>
        <w:rPr>
          <w:sz w:val="20"/>
          <w:szCs w:val="20"/>
          <w:lang w:val="en-US"/>
        </w:rPr>
        <w:t xml:space="preserve">; assuming an exchange rate of </w:t>
      </w:r>
      <w:r w:rsidRPr="00733B81">
        <w:rPr>
          <w:sz w:val="20"/>
          <w:szCs w:val="20"/>
          <w:lang w:val="en-US"/>
        </w:rPr>
        <w:t>1.10 USD/EUR</w:t>
      </w:r>
      <w:r>
        <w:rPr>
          <w:sz w:val="20"/>
          <w:szCs w:val="20"/>
          <w:lang w:val="en-US"/>
        </w:rPr>
        <w:t>.</w:t>
      </w:r>
    </w:p>
    <w:p w14:paraId="6CEF49E6" w14:textId="77777777" w:rsidR="009E7684" w:rsidRDefault="009E7684" w:rsidP="009E7684">
      <w:pPr>
        <w:spacing w:after="0" w:line="240" w:lineRule="auto"/>
        <w:rPr>
          <w:sz w:val="20"/>
          <w:szCs w:val="20"/>
          <w:lang w:val="en-US"/>
        </w:rPr>
      </w:pPr>
      <w:r w:rsidRPr="0015718C">
        <w:rPr>
          <w:sz w:val="20"/>
          <w:szCs w:val="20"/>
          <w:vertAlign w:val="superscript"/>
          <w:lang w:val="en-US"/>
        </w:rPr>
        <w:t>c</w:t>
      </w:r>
      <w:r>
        <w:rPr>
          <w:sz w:val="20"/>
          <w:szCs w:val="20"/>
          <w:lang w:val="en-US"/>
        </w:rPr>
        <w:t xml:space="preserve"> We assume here a consumption and price of urea solution of 1.6 l per 100</w:t>
      </w:r>
      <w:r w:rsidRPr="00C665F0">
        <w:rPr>
          <w:sz w:val="20"/>
          <w:szCs w:val="20"/>
          <w:lang w:val="en-US"/>
        </w:rPr>
        <w:t xml:space="preserve"> </w:t>
      </w:r>
      <w:r>
        <w:rPr>
          <w:sz w:val="20"/>
          <w:szCs w:val="20"/>
          <w:lang w:val="en-US"/>
        </w:rPr>
        <w:t>km and  0.55 EUR/l, respectively.</w:t>
      </w:r>
    </w:p>
    <w:p w14:paraId="32F2EE86" w14:textId="77777777" w:rsidR="009E7684" w:rsidRDefault="009E7684" w:rsidP="009E7684">
      <w:pPr>
        <w:spacing w:after="0" w:line="240" w:lineRule="auto"/>
        <w:rPr>
          <w:sz w:val="20"/>
          <w:szCs w:val="20"/>
          <w:lang w:val="en-US"/>
        </w:rPr>
      </w:pPr>
    </w:p>
    <w:p w14:paraId="0D87EC9B" w14:textId="77777777" w:rsidR="00E41A20" w:rsidRDefault="00E41A20" w:rsidP="009E7684">
      <w:pPr>
        <w:pStyle w:val="Beschriftung"/>
        <w:keepNext/>
        <w:rPr>
          <w:lang w:val="en-US"/>
        </w:rPr>
        <w:sectPr w:rsidR="00E41A20" w:rsidSect="00284AA5">
          <w:footnotePr>
            <w:numStart w:val="4"/>
          </w:footnotePr>
          <w:pgSz w:w="16838" w:h="11906" w:orient="landscape"/>
          <w:pgMar w:top="1417" w:right="1417" w:bottom="1417" w:left="1134" w:header="708" w:footer="708" w:gutter="0"/>
          <w:cols w:space="708"/>
          <w:docGrid w:linePitch="360"/>
        </w:sectPr>
      </w:pPr>
      <w:bookmarkStart w:id="3" w:name="_Ref484484805"/>
      <w:bookmarkStart w:id="4" w:name="_Toc484485397"/>
      <w:bookmarkStart w:id="5" w:name="_Toc485435723"/>
    </w:p>
    <w:p w14:paraId="2CB548CC" w14:textId="1ABBA723" w:rsidR="009E7684" w:rsidRPr="00E41A20" w:rsidRDefault="009E7684" w:rsidP="00E41A20">
      <w:pPr>
        <w:pStyle w:val="Beschriftung"/>
        <w:keepNext/>
        <w:spacing w:after="0" w:line="360" w:lineRule="auto"/>
        <w:ind w:left="1410" w:hanging="1410"/>
        <w:rPr>
          <w:sz w:val="24"/>
          <w:szCs w:val="24"/>
          <w:lang w:val="en-US"/>
        </w:rPr>
      </w:pPr>
      <w:r w:rsidRPr="00E41A20">
        <w:rPr>
          <w:sz w:val="24"/>
          <w:szCs w:val="24"/>
          <w:lang w:val="en-US"/>
        </w:rPr>
        <w:lastRenderedPageBreak/>
        <w:t>Table</w:t>
      </w:r>
      <w:bookmarkEnd w:id="3"/>
      <w:r w:rsidR="00E41A20" w:rsidRPr="00E41A20">
        <w:rPr>
          <w:sz w:val="24"/>
          <w:szCs w:val="24"/>
          <w:lang w:val="en-US"/>
        </w:rPr>
        <w:t xml:space="preserve"> S10</w:t>
      </w:r>
      <w:r w:rsidRPr="00E41A20">
        <w:rPr>
          <w:sz w:val="24"/>
          <w:szCs w:val="24"/>
          <w:lang w:val="en-US"/>
        </w:rPr>
        <w:t xml:space="preserve">: </w:t>
      </w:r>
      <w:r w:rsidR="00E41A20">
        <w:rPr>
          <w:sz w:val="24"/>
          <w:szCs w:val="24"/>
          <w:lang w:val="en-US"/>
        </w:rPr>
        <w:tab/>
      </w:r>
      <w:r w:rsidRPr="00E41A20">
        <w:rPr>
          <w:sz w:val="24"/>
          <w:szCs w:val="24"/>
          <w:lang w:val="en-US"/>
        </w:rPr>
        <w:t>Data sources and assumptions used for estimating the costs of mitigating PN emissions of road vehicle</w:t>
      </w:r>
      <w:r w:rsidR="00E41A20" w:rsidRPr="00E41A20">
        <w:rPr>
          <w:sz w:val="24"/>
          <w:szCs w:val="24"/>
          <w:lang w:val="en-US"/>
        </w:rPr>
        <w:t>s</w:t>
      </w:r>
      <w:r w:rsidRPr="00E41A20">
        <w:rPr>
          <w:sz w:val="24"/>
          <w:szCs w:val="24"/>
          <w:lang w:val="en-US"/>
        </w:rPr>
        <w:t xml:space="preserve">; </w:t>
      </w:r>
      <w:bookmarkEnd w:id="4"/>
      <w:bookmarkEnd w:id="5"/>
      <w:r w:rsidR="00E41A20" w:rsidRPr="00E41A20">
        <w:rPr>
          <w:sz w:val="24"/>
          <w:szCs w:val="24"/>
          <w:lang w:val="en-US"/>
        </w:rPr>
        <w:t>data represent estimates that indicate general cost trends</w:t>
      </w:r>
      <w:r w:rsidR="00F751EC">
        <w:rPr>
          <w:sz w:val="24"/>
          <w:szCs w:val="24"/>
          <w:lang w:val="en-US"/>
        </w:rPr>
        <w:t xml:space="preserve"> (Source: Zerfass, 2017)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2551"/>
        <w:gridCol w:w="2268"/>
        <w:gridCol w:w="3119"/>
        <w:gridCol w:w="2629"/>
      </w:tblGrid>
      <w:tr w:rsidR="009E7684" w:rsidRPr="00C665F0" w14:paraId="3C513016" w14:textId="77777777" w:rsidTr="00E41A20">
        <w:trPr>
          <w:tblHeader/>
        </w:trPr>
        <w:tc>
          <w:tcPr>
            <w:tcW w:w="2727" w:type="dxa"/>
            <w:shd w:val="clear" w:color="auto" w:fill="auto"/>
            <w:vAlign w:val="center"/>
          </w:tcPr>
          <w:p w14:paraId="41B683D7" w14:textId="4376E708" w:rsidR="009E7684" w:rsidRPr="00B34FAA" w:rsidRDefault="009E7684" w:rsidP="00E41A20">
            <w:pPr>
              <w:spacing w:after="0" w:line="240" w:lineRule="auto"/>
              <w:rPr>
                <w:b/>
                <w:sz w:val="20"/>
                <w:szCs w:val="20"/>
                <w:lang w:val="en-US"/>
              </w:rPr>
            </w:pPr>
            <w:proofErr w:type="spellStart"/>
            <w:r w:rsidRPr="00B34FAA">
              <w:rPr>
                <w:b/>
                <w:sz w:val="20"/>
                <w:szCs w:val="20"/>
                <w:lang w:val="en-US"/>
              </w:rPr>
              <w:t>Technology</w:t>
            </w:r>
            <w:r w:rsidRPr="00B34FAA">
              <w:rPr>
                <w:b/>
                <w:sz w:val="20"/>
                <w:szCs w:val="20"/>
                <w:vertAlign w:val="superscript"/>
                <w:lang w:val="en-US"/>
              </w:rPr>
              <w:t>c</w:t>
            </w:r>
            <w:proofErr w:type="spellEnd"/>
          </w:p>
        </w:tc>
        <w:tc>
          <w:tcPr>
            <w:tcW w:w="2551" w:type="dxa"/>
            <w:shd w:val="clear" w:color="auto" w:fill="auto"/>
            <w:vAlign w:val="center"/>
          </w:tcPr>
          <w:p w14:paraId="11EC9EC2" w14:textId="77777777" w:rsidR="009E7684" w:rsidRPr="00B34FAA" w:rsidRDefault="009E7684" w:rsidP="00E41A20">
            <w:pPr>
              <w:spacing w:after="0" w:line="240" w:lineRule="auto"/>
              <w:rPr>
                <w:b/>
                <w:sz w:val="20"/>
                <w:szCs w:val="20"/>
                <w:lang w:val="en-US"/>
              </w:rPr>
            </w:pPr>
            <w:r w:rsidRPr="00B34FAA">
              <w:rPr>
                <w:b/>
                <w:sz w:val="20"/>
                <w:szCs w:val="20"/>
                <w:lang w:val="en-US"/>
              </w:rPr>
              <w:t>Costs</w:t>
            </w:r>
          </w:p>
        </w:tc>
        <w:tc>
          <w:tcPr>
            <w:tcW w:w="2268" w:type="dxa"/>
            <w:shd w:val="clear" w:color="auto" w:fill="auto"/>
            <w:vAlign w:val="center"/>
          </w:tcPr>
          <w:p w14:paraId="3D932F2D" w14:textId="77777777" w:rsidR="009E7684" w:rsidRPr="00B34FAA" w:rsidRDefault="009E7684" w:rsidP="00E41A20">
            <w:pPr>
              <w:spacing w:after="0" w:line="240" w:lineRule="auto"/>
              <w:rPr>
                <w:b/>
                <w:sz w:val="20"/>
                <w:szCs w:val="20"/>
                <w:lang w:val="en-US"/>
              </w:rPr>
            </w:pPr>
            <w:r w:rsidRPr="00B34FAA">
              <w:rPr>
                <w:b/>
                <w:sz w:val="20"/>
                <w:szCs w:val="20"/>
                <w:lang w:val="en-US"/>
              </w:rPr>
              <w:t>Lifetime</w:t>
            </w:r>
          </w:p>
        </w:tc>
        <w:tc>
          <w:tcPr>
            <w:tcW w:w="3119" w:type="dxa"/>
            <w:shd w:val="clear" w:color="auto" w:fill="auto"/>
            <w:vAlign w:val="center"/>
          </w:tcPr>
          <w:p w14:paraId="52859BC0" w14:textId="77777777" w:rsidR="009E7684" w:rsidRPr="00B34FAA" w:rsidRDefault="009E7684" w:rsidP="00E41A20">
            <w:pPr>
              <w:spacing w:after="0" w:line="240" w:lineRule="auto"/>
              <w:rPr>
                <w:b/>
                <w:sz w:val="20"/>
                <w:szCs w:val="20"/>
                <w:lang w:val="en-US"/>
              </w:rPr>
            </w:pPr>
            <w:r w:rsidRPr="00B34FAA">
              <w:rPr>
                <w:b/>
                <w:sz w:val="20"/>
                <w:szCs w:val="20"/>
                <w:lang w:val="en-US"/>
              </w:rPr>
              <w:t>Efficacy</w:t>
            </w:r>
          </w:p>
        </w:tc>
        <w:tc>
          <w:tcPr>
            <w:tcW w:w="2629" w:type="dxa"/>
            <w:shd w:val="clear" w:color="auto" w:fill="auto"/>
            <w:vAlign w:val="center"/>
          </w:tcPr>
          <w:p w14:paraId="6AB4FCC0" w14:textId="77777777" w:rsidR="009E7684" w:rsidRPr="00B34FAA" w:rsidRDefault="009E7684" w:rsidP="00E41A20">
            <w:pPr>
              <w:spacing w:after="0" w:line="240" w:lineRule="auto"/>
              <w:rPr>
                <w:b/>
                <w:sz w:val="20"/>
                <w:szCs w:val="20"/>
                <w:lang w:val="en-US"/>
              </w:rPr>
            </w:pPr>
            <w:r w:rsidRPr="00B34FAA">
              <w:rPr>
                <w:b/>
                <w:sz w:val="20"/>
                <w:szCs w:val="20"/>
                <w:lang w:val="en-US"/>
              </w:rPr>
              <w:t>Emission mitigation costs</w:t>
            </w:r>
          </w:p>
        </w:tc>
      </w:tr>
      <w:tr w:rsidR="009E7684" w:rsidRPr="00C665F0" w14:paraId="5CB0460A" w14:textId="77777777" w:rsidTr="00E41A20">
        <w:tc>
          <w:tcPr>
            <w:tcW w:w="2727" w:type="dxa"/>
            <w:shd w:val="clear" w:color="auto" w:fill="auto"/>
            <w:vAlign w:val="center"/>
          </w:tcPr>
          <w:p w14:paraId="11AE89C5" w14:textId="77777777" w:rsidR="009E7684" w:rsidRPr="00F71120" w:rsidRDefault="009E7684" w:rsidP="00E41A20">
            <w:pPr>
              <w:spacing w:after="0" w:line="240" w:lineRule="auto"/>
              <w:rPr>
                <w:sz w:val="20"/>
                <w:szCs w:val="20"/>
                <w:lang w:val="en-US"/>
              </w:rPr>
            </w:pPr>
            <w:r w:rsidRPr="00F71120">
              <w:rPr>
                <w:sz w:val="20"/>
                <w:szCs w:val="20"/>
                <w:lang w:val="en-US"/>
              </w:rPr>
              <w:t xml:space="preserve">Light-duty vehicles - </w:t>
            </w:r>
          </w:p>
          <w:p w14:paraId="6FE812DF" w14:textId="77777777" w:rsidR="009E7684" w:rsidRPr="00F71120" w:rsidRDefault="009E7684" w:rsidP="00E41A20">
            <w:pPr>
              <w:spacing w:after="0" w:line="240" w:lineRule="auto"/>
              <w:rPr>
                <w:sz w:val="20"/>
                <w:szCs w:val="20"/>
                <w:lang w:val="en-US"/>
              </w:rPr>
            </w:pPr>
            <w:r w:rsidRPr="00F71120">
              <w:rPr>
                <w:sz w:val="20"/>
                <w:szCs w:val="20"/>
                <w:lang w:val="en-US"/>
              </w:rPr>
              <w:t>Diesel particulate filter</w:t>
            </w:r>
          </w:p>
          <w:p w14:paraId="3528D9B7" w14:textId="77777777" w:rsidR="009E7684" w:rsidRPr="00F71120" w:rsidRDefault="009E7684" w:rsidP="00E41A20">
            <w:pPr>
              <w:spacing w:after="0" w:line="240" w:lineRule="auto"/>
              <w:rPr>
                <w:sz w:val="20"/>
                <w:szCs w:val="20"/>
                <w:lang w:val="en-US"/>
              </w:rPr>
            </w:pPr>
            <w:r w:rsidRPr="00F71120">
              <w:rPr>
                <w:sz w:val="20"/>
                <w:szCs w:val="20"/>
                <w:lang w:val="en-US"/>
              </w:rPr>
              <w:t>(including installation by car manufacturer)</w:t>
            </w:r>
          </w:p>
        </w:tc>
        <w:tc>
          <w:tcPr>
            <w:tcW w:w="2551" w:type="dxa"/>
            <w:shd w:val="clear" w:color="auto" w:fill="auto"/>
            <w:vAlign w:val="center"/>
          </w:tcPr>
          <w:p w14:paraId="7B35201D" w14:textId="438A08FB" w:rsidR="009E7684" w:rsidRPr="00F71120" w:rsidRDefault="009E7684" w:rsidP="00E41A20">
            <w:pPr>
              <w:spacing w:after="0" w:line="240" w:lineRule="auto"/>
              <w:rPr>
                <w:sz w:val="20"/>
                <w:szCs w:val="20"/>
                <w:lang w:val="en-US"/>
              </w:rPr>
            </w:pPr>
            <w:r w:rsidRPr="00F71120">
              <w:rPr>
                <w:sz w:val="20"/>
                <w:szCs w:val="20"/>
                <w:lang w:val="en-US"/>
              </w:rPr>
              <w:t xml:space="preserve">150-350 EUR (estimate based on </w:t>
            </w:r>
            <w:proofErr w:type="spellStart"/>
            <w:r w:rsidRPr="00F71120">
              <w:rPr>
                <w:sz w:val="20"/>
                <w:szCs w:val="20"/>
                <w:lang w:val="en-US"/>
              </w:rPr>
              <w:t>Possada</w:t>
            </w:r>
            <w:proofErr w:type="spellEnd"/>
            <w:r w:rsidRPr="00F71120">
              <w:rPr>
                <w:sz w:val="20"/>
                <w:szCs w:val="20"/>
                <w:lang w:val="en-US"/>
              </w:rPr>
              <w:t xml:space="preserve"> </w:t>
            </w:r>
            <w:proofErr w:type="spellStart"/>
            <w:r w:rsidRPr="00F71120">
              <w:rPr>
                <w:sz w:val="20"/>
                <w:szCs w:val="20"/>
                <w:lang w:val="en-US"/>
              </w:rPr>
              <w:t>Sa</w:t>
            </w:r>
            <w:r w:rsidR="00E41A20">
              <w:rPr>
                <w:sz w:val="20"/>
                <w:szCs w:val="20"/>
                <w:lang w:val="en-US"/>
              </w:rPr>
              <w:t>n</w:t>
            </w:r>
            <w:r w:rsidRPr="00F71120">
              <w:rPr>
                <w:sz w:val="20"/>
                <w:szCs w:val="20"/>
                <w:lang w:val="en-US"/>
              </w:rPr>
              <w:t>ches</w:t>
            </w:r>
            <w:proofErr w:type="spellEnd"/>
            <w:r w:rsidRPr="00F71120">
              <w:rPr>
                <w:sz w:val="20"/>
                <w:szCs w:val="20"/>
                <w:lang w:val="en-US"/>
              </w:rPr>
              <w:t>, 2012)</w:t>
            </w:r>
            <w:proofErr w:type="spellStart"/>
            <w:r w:rsidRPr="00F71120">
              <w:rPr>
                <w:sz w:val="20"/>
                <w:szCs w:val="20"/>
                <w:vertAlign w:val="superscript"/>
                <w:lang w:val="en-US"/>
              </w:rPr>
              <w:t>a,b</w:t>
            </w:r>
            <w:proofErr w:type="spellEnd"/>
          </w:p>
        </w:tc>
        <w:tc>
          <w:tcPr>
            <w:tcW w:w="2268" w:type="dxa"/>
            <w:shd w:val="clear" w:color="auto" w:fill="auto"/>
            <w:vAlign w:val="center"/>
          </w:tcPr>
          <w:p w14:paraId="401DE22F" w14:textId="77777777" w:rsidR="009E7684" w:rsidRPr="00F71120" w:rsidRDefault="009E7684" w:rsidP="00E41A20">
            <w:pPr>
              <w:spacing w:after="0" w:line="240" w:lineRule="auto"/>
              <w:rPr>
                <w:sz w:val="20"/>
                <w:szCs w:val="20"/>
                <w:lang w:val="en-US"/>
              </w:rPr>
            </w:pPr>
            <w:r w:rsidRPr="00F71120">
              <w:rPr>
                <w:sz w:val="20"/>
                <w:szCs w:val="20"/>
                <w:lang w:val="en-US"/>
              </w:rPr>
              <w:t>200,000 km (based on FG, 2017; Giechaskiel, 2017</w:t>
            </w:r>
          </w:p>
        </w:tc>
        <w:tc>
          <w:tcPr>
            <w:tcW w:w="3119" w:type="dxa"/>
            <w:shd w:val="clear" w:color="auto" w:fill="auto"/>
            <w:vAlign w:val="center"/>
          </w:tcPr>
          <w:p w14:paraId="557B0368" w14:textId="77777777" w:rsidR="009E7684" w:rsidRPr="00F71120" w:rsidRDefault="009E7684" w:rsidP="00E41A20">
            <w:pPr>
              <w:spacing w:after="0" w:line="240" w:lineRule="auto"/>
              <w:rPr>
                <w:sz w:val="20"/>
                <w:szCs w:val="20"/>
                <w:lang w:val="en-US"/>
              </w:rPr>
            </w:pPr>
            <w:r w:rsidRPr="00F71120">
              <w:rPr>
                <w:sz w:val="20"/>
                <w:szCs w:val="20"/>
                <w:lang w:val="en-US"/>
              </w:rPr>
              <w:t>95% PN removal efficacy (Giechaskiel, 2017) to a level of 6*10</w:t>
            </w:r>
            <w:r w:rsidRPr="00F71120">
              <w:rPr>
                <w:sz w:val="20"/>
                <w:szCs w:val="20"/>
                <w:vertAlign w:val="superscript"/>
                <w:lang w:val="en-US"/>
              </w:rPr>
              <w:t>11</w:t>
            </w:r>
            <w:r w:rsidRPr="00F71120">
              <w:rPr>
                <w:sz w:val="20"/>
                <w:szCs w:val="20"/>
                <w:lang w:val="en-US"/>
              </w:rPr>
              <w:t xml:space="preserve"> particles/km (based on Giechaskiel et al., 2015)</w:t>
            </w:r>
          </w:p>
        </w:tc>
        <w:tc>
          <w:tcPr>
            <w:tcW w:w="2629" w:type="dxa"/>
            <w:shd w:val="clear" w:color="auto" w:fill="auto"/>
            <w:vAlign w:val="center"/>
          </w:tcPr>
          <w:p w14:paraId="6B3EA0EB" w14:textId="77777777" w:rsidR="009E7684" w:rsidRPr="00F71120" w:rsidRDefault="009E7684" w:rsidP="00E41A20">
            <w:pPr>
              <w:spacing w:after="0" w:line="240" w:lineRule="auto"/>
              <w:rPr>
                <w:sz w:val="20"/>
                <w:szCs w:val="20"/>
                <w:lang w:val="en-US"/>
              </w:rPr>
            </w:pPr>
            <w:r w:rsidRPr="00F71120">
              <w:rPr>
                <w:sz w:val="20"/>
                <w:szCs w:val="20"/>
                <w:lang w:val="en-US"/>
              </w:rPr>
              <w:t>7-23 EUR/10</w:t>
            </w:r>
            <w:r w:rsidRPr="00F71120">
              <w:rPr>
                <w:sz w:val="20"/>
                <w:szCs w:val="20"/>
                <w:vertAlign w:val="superscript"/>
                <w:lang w:val="en-US"/>
              </w:rPr>
              <w:t>17</w:t>
            </w:r>
            <w:r w:rsidRPr="00F71120">
              <w:rPr>
                <w:sz w:val="20"/>
                <w:szCs w:val="20"/>
                <w:lang w:val="en-US"/>
              </w:rPr>
              <w:t xml:space="preserve"> particles</w:t>
            </w:r>
          </w:p>
        </w:tc>
      </w:tr>
      <w:tr w:rsidR="009E7684" w:rsidRPr="00C665F0" w14:paraId="4816802E" w14:textId="77777777" w:rsidTr="00E41A20">
        <w:tc>
          <w:tcPr>
            <w:tcW w:w="2727" w:type="dxa"/>
            <w:shd w:val="clear" w:color="auto" w:fill="auto"/>
            <w:vAlign w:val="center"/>
          </w:tcPr>
          <w:p w14:paraId="717BD269" w14:textId="77777777" w:rsidR="009E7684" w:rsidRPr="00F71120" w:rsidRDefault="009E7684" w:rsidP="00E41A20">
            <w:pPr>
              <w:spacing w:after="0" w:line="240" w:lineRule="auto"/>
              <w:rPr>
                <w:sz w:val="20"/>
                <w:szCs w:val="20"/>
                <w:lang w:val="en-US"/>
              </w:rPr>
            </w:pPr>
            <w:r w:rsidRPr="00F71120">
              <w:rPr>
                <w:sz w:val="20"/>
                <w:szCs w:val="20"/>
                <w:lang w:val="en-US"/>
              </w:rPr>
              <w:t xml:space="preserve">Light-duty vehicles – </w:t>
            </w:r>
          </w:p>
          <w:p w14:paraId="3643EBC0" w14:textId="77777777" w:rsidR="009E7684" w:rsidRPr="00F71120" w:rsidRDefault="009E7684" w:rsidP="00E41A20">
            <w:pPr>
              <w:spacing w:after="0" w:line="240" w:lineRule="auto"/>
              <w:rPr>
                <w:sz w:val="20"/>
                <w:szCs w:val="20"/>
                <w:lang w:val="en-US"/>
              </w:rPr>
            </w:pPr>
            <w:r w:rsidRPr="00F71120">
              <w:rPr>
                <w:sz w:val="20"/>
                <w:szCs w:val="20"/>
                <w:lang w:val="en-US"/>
              </w:rPr>
              <w:t xml:space="preserve">Diesel particulate filter </w:t>
            </w:r>
          </w:p>
          <w:p w14:paraId="66B7E3EA" w14:textId="77777777" w:rsidR="009E7684" w:rsidRPr="00F71120" w:rsidRDefault="009E7684" w:rsidP="00E41A20">
            <w:pPr>
              <w:spacing w:after="0" w:line="240" w:lineRule="auto"/>
              <w:rPr>
                <w:sz w:val="20"/>
                <w:szCs w:val="20"/>
                <w:lang w:val="en-US"/>
              </w:rPr>
            </w:pPr>
            <w:r w:rsidRPr="00F71120">
              <w:rPr>
                <w:sz w:val="20"/>
                <w:szCs w:val="20"/>
                <w:lang w:val="en-US"/>
              </w:rPr>
              <w:t>(retrofit by vehicle user)</w:t>
            </w:r>
          </w:p>
        </w:tc>
        <w:tc>
          <w:tcPr>
            <w:tcW w:w="2551" w:type="dxa"/>
            <w:shd w:val="clear" w:color="auto" w:fill="auto"/>
            <w:vAlign w:val="center"/>
          </w:tcPr>
          <w:p w14:paraId="37AF6691" w14:textId="77777777" w:rsidR="009E7684" w:rsidRPr="00F71120" w:rsidRDefault="009E7684" w:rsidP="00E41A20">
            <w:pPr>
              <w:spacing w:after="0" w:line="240" w:lineRule="auto"/>
              <w:rPr>
                <w:sz w:val="20"/>
                <w:szCs w:val="20"/>
                <w:lang w:val="en-US"/>
              </w:rPr>
            </w:pPr>
            <w:r w:rsidRPr="00F71120">
              <w:rPr>
                <w:sz w:val="20"/>
                <w:szCs w:val="20"/>
                <w:lang w:val="en-US"/>
              </w:rPr>
              <w:t>500-2000 EUR (own estimate based on DHZ, 2016; FG, 2017)</w:t>
            </w:r>
          </w:p>
        </w:tc>
        <w:tc>
          <w:tcPr>
            <w:tcW w:w="2268" w:type="dxa"/>
            <w:shd w:val="clear" w:color="auto" w:fill="auto"/>
            <w:vAlign w:val="center"/>
          </w:tcPr>
          <w:p w14:paraId="5EFEAB5B" w14:textId="77777777" w:rsidR="009E7684" w:rsidRPr="00F71120" w:rsidRDefault="009E7684" w:rsidP="00E41A20">
            <w:pPr>
              <w:spacing w:after="0" w:line="240" w:lineRule="auto"/>
              <w:rPr>
                <w:sz w:val="20"/>
                <w:szCs w:val="20"/>
                <w:lang w:val="en-US"/>
              </w:rPr>
            </w:pPr>
            <w:r w:rsidRPr="00F71120">
              <w:rPr>
                <w:sz w:val="20"/>
                <w:szCs w:val="20"/>
                <w:lang w:val="en-US"/>
              </w:rPr>
              <w:t>200,000 km (based on FG, 2017; Giechaskiel, 2017</w:t>
            </w:r>
          </w:p>
        </w:tc>
        <w:tc>
          <w:tcPr>
            <w:tcW w:w="3119" w:type="dxa"/>
            <w:shd w:val="clear" w:color="auto" w:fill="auto"/>
            <w:vAlign w:val="center"/>
          </w:tcPr>
          <w:p w14:paraId="6B00A45D" w14:textId="77777777" w:rsidR="009E7684" w:rsidRPr="00F71120" w:rsidRDefault="009E7684" w:rsidP="00E41A20">
            <w:pPr>
              <w:spacing w:after="0" w:line="240" w:lineRule="auto"/>
              <w:rPr>
                <w:sz w:val="20"/>
                <w:szCs w:val="20"/>
                <w:lang w:val="en-US"/>
              </w:rPr>
            </w:pPr>
            <w:r w:rsidRPr="00F71120">
              <w:rPr>
                <w:sz w:val="20"/>
                <w:szCs w:val="20"/>
                <w:lang w:val="en-US"/>
              </w:rPr>
              <w:t>95% PN removal efficacy (Giechaskiel, 2017) to a level of 6*10</w:t>
            </w:r>
            <w:r w:rsidRPr="00F71120">
              <w:rPr>
                <w:sz w:val="20"/>
                <w:szCs w:val="20"/>
                <w:vertAlign w:val="superscript"/>
                <w:lang w:val="en-US"/>
              </w:rPr>
              <w:t>11</w:t>
            </w:r>
            <w:r w:rsidRPr="00F71120">
              <w:rPr>
                <w:sz w:val="20"/>
                <w:szCs w:val="20"/>
                <w:lang w:val="en-US"/>
              </w:rPr>
              <w:t xml:space="preserve"> particles/km (based on Giechaskiel et al., 2015)</w:t>
            </w:r>
          </w:p>
        </w:tc>
        <w:tc>
          <w:tcPr>
            <w:tcW w:w="2629" w:type="dxa"/>
            <w:shd w:val="clear" w:color="auto" w:fill="auto"/>
            <w:vAlign w:val="center"/>
          </w:tcPr>
          <w:p w14:paraId="12AE699E" w14:textId="77777777" w:rsidR="009E7684" w:rsidRPr="00F71120" w:rsidRDefault="009E7684" w:rsidP="00E41A20">
            <w:pPr>
              <w:spacing w:after="0" w:line="240" w:lineRule="auto"/>
              <w:rPr>
                <w:sz w:val="20"/>
                <w:szCs w:val="20"/>
                <w:lang w:val="en-US"/>
              </w:rPr>
            </w:pPr>
            <w:r w:rsidRPr="00F71120">
              <w:rPr>
                <w:sz w:val="20"/>
                <w:szCs w:val="20"/>
                <w:lang w:val="en-US"/>
              </w:rPr>
              <w:t>22-88 EUR/10</w:t>
            </w:r>
            <w:r w:rsidRPr="00F71120">
              <w:rPr>
                <w:sz w:val="20"/>
                <w:szCs w:val="20"/>
                <w:vertAlign w:val="superscript"/>
                <w:lang w:val="en-US"/>
              </w:rPr>
              <w:t>17</w:t>
            </w:r>
            <w:r w:rsidRPr="00F71120">
              <w:rPr>
                <w:sz w:val="20"/>
                <w:szCs w:val="20"/>
                <w:lang w:val="en-US"/>
              </w:rPr>
              <w:t xml:space="preserve"> particles</w:t>
            </w:r>
          </w:p>
        </w:tc>
      </w:tr>
      <w:tr w:rsidR="009E7684" w:rsidRPr="0093525F" w14:paraId="3475BDAA" w14:textId="77777777" w:rsidTr="00E41A20">
        <w:tc>
          <w:tcPr>
            <w:tcW w:w="2727" w:type="dxa"/>
            <w:shd w:val="clear" w:color="auto" w:fill="auto"/>
            <w:vAlign w:val="center"/>
          </w:tcPr>
          <w:p w14:paraId="22403DE1" w14:textId="77777777" w:rsidR="009E7684" w:rsidRPr="00F71120" w:rsidRDefault="009E7684" w:rsidP="00E41A20">
            <w:pPr>
              <w:spacing w:after="0" w:line="240" w:lineRule="auto"/>
              <w:rPr>
                <w:sz w:val="20"/>
                <w:szCs w:val="20"/>
                <w:lang w:val="en-US"/>
              </w:rPr>
            </w:pPr>
            <w:r w:rsidRPr="00F71120">
              <w:rPr>
                <w:sz w:val="20"/>
                <w:szCs w:val="20"/>
                <w:lang w:val="en-US"/>
              </w:rPr>
              <w:t xml:space="preserve">Light-duty vehicles – </w:t>
            </w:r>
          </w:p>
          <w:p w14:paraId="15929A10" w14:textId="77777777" w:rsidR="009E7684" w:rsidRPr="00F71120" w:rsidRDefault="009E7684" w:rsidP="00E41A20">
            <w:pPr>
              <w:spacing w:after="0" w:line="240" w:lineRule="auto"/>
              <w:rPr>
                <w:sz w:val="20"/>
                <w:szCs w:val="20"/>
                <w:lang w:val="en-US"/>
              </w:rPr>
            </w:pPr>
            <w:r w:rsidRPr="00F71120">
              <w:rPr>
                <w:sz w:val="20"/>
                <w:szCs w:val="20"/>
                <w:lang w:val="en-US"/>
              </w:rPr>
              <w:t>Gasoline particulate filter</w:t>
            </w:r>
          </w:p>
        </w:tc>
        <w:tc>
          <w:tcPr>
            <w:tcW w:w="2551" w:type="dxa"/>
            <w:shd w:val="clear" w:color="auto" w:fill="auto"/>
            <w:vAlign w:val="center"/>
          </w:tcPr>
          <w:p w14:paraId="342D0991" w14:textId="77777777" w:rsidR="009E7684" w:rsidRPr="00F71120" w:rsidRDefault="009E7684" w:rsidP="00E41A20">
            <w:pPr>
              <w:spacing w:after="0" w:line="240" w:lineRule="auto"/>
              <w:rPr>
                <w:sz w:val="20"/>
                <w:szCs w:val="20"/>
                <w:lang w:val="en-US"/>
              </w:rPr>
            </w:pPr>
            <w:r w:rsidRPr="00F71120">
              <w:rPr>
                <w:sz w:val="20"/>
                <w:szCs w:val="20"/>
                <w:lang w:val="en-US"/>
              </w:rPr>
              <w:t>67-158 EUR (</w:t>
            </w:r>
            <w:proofErr w:type="spellStart"/>
            <w:r w:rsidRPr="00F71120">
              <w:rPr>
                <w:sz w:val="20"/>
                <w:szCs w:val="20"/>
                <w:lang w:val="en-US"/>
              </w:rPr>
              <w:t>Minjares</w:t>
            </w:r>
            <w:proofErr w:type="spellEnd"/>
            <w:r w:rsidRPr="00F71120">
              <w:rPr>
                <w:sz w:val="20"/>
                <w:szCs w:val="20"/>
                <w:lang w:val="en-US"/>
              </w:rPr>
              <w:t xml:space="preserve"> and Posada Sanchez, 2011)</w:t>
            </w:r>
            <w:proofErr w:type="spellStart"/>
            <w:r w:rsidRPr="00F71120">
              <w:rPr>
                <w:sz w:val="20"/>
                <w:szCs w:val="20"/>
                <w:vertAlign w:val="superscript"/>
                <w:lang w:val="en-US"/>
              </w:rPr>
              <w:t>a,b,e</w:t>
            </w:r>
            <w:proofErr w:type="spellEnd"/>
          </w:p>
        </w:tc>
        <w:tc>
          <w:tcPr>
            <w:tcW w:w="2268" w:type="dxa"/>
            <w:shd w:val="clear" w:color="auto" w:fill="auto"/>
            <w:vAlign w:val="center"/>
          </w:tcPr>
          <w:p w14:paraId="3ED4CA88" w14:textId="77777777" w:rsidR="009E7684" w:rsidRPr="00F71120" w:rsidRDefault="009E7684" w:rsidP="00E41A20">
            <w:pPr>
              <w:spacing w:after="0" w:line="240" w:lineRule="auto"/>
              <w:rPr>
                <w:sz w:val="20"/>
                <w:szCs w:val="20"/>
                <w:lang w:val="en-US"/>
              </w:rPr>
            </w:pPr>
            <w:r w:rsidRPr="00F71120">
              <w:rPr>
                <w:sz w:val="20"/>
                <w:szCs w:val="20"/>
                <w:lang w:val="en-US"/>
              </w:rPr>
              <w:t>200,000 km, assumption based on DPFs</w:t>
            </w:r>
          </w:p>
        </w:tc>
        <w:tc>
          <w:tcPr>
            <w:tcW w:w="3119" w:type="dxa"/>
            <w:shd w:val="clear" w:color="auto" w:fill="auto"/>
            <w:vAlign w:val="center"/>
          </w:tcPr>
          <w:p w14:paraId="046A887E" w14:textId="77777777" w:rsidR="009E7684" w:rsidRPr="00F71120" w:rsidRDefault="009E7684" w:rsidP="00E41A20">
            <w:pPr>
              <w:spacing w:after="0" w:line="240" w:lineRule="auto"/>
              <w:rPr>
                <w:sz w:val="20"/>
                <w:szCs w:val="20"/>
                <w:lang w:val="en-US"/>
              </w:rPr>
            </w:pPr>
            <w:r w:rsidRPr="00F71120">
              <w:rPr>
                <w:sz w:val="20"/>
                <w:szCs w:val="20"/>
                <w:lang w:val="en-US"/>
              </w:rPr>
              <w:t>70% PN removal (Giechaskiel, 2017); engine out emissions of 1,4*10</w:t>
            </w:r>
            <w:r w:rsidRPr="00F71120">
              <w:rPr>
                <w:sz w:val="20"/>
                <w:szCs w:val="20"/>
                <w:vertAlign w:val="superscript"/>
                <w:lang w:val="en-US"/>
              </w:rPr>
              <w:t>12</w:t>
            </w:r>
            <w:r w:rsidRPr="00F71120">
              <w:rPr>
                <w:sz w:val="20"/>
                <w:szCs w:val="20"/>
                <w:lang w:val="en-US"/>
              </w:rPr>
              <w:t xml:space="preserve"> particles/km decreased to 5-6*10</w:t>
            </w:r>
            <w:r w:rsidRPr="00F71120">
              <w:rPr>
                <w:sz w:val="20"/>
                <w:szCs w:val="20"/>
                <w:vertAlign w:val="superscript"/>
                <w:lang w:val="en-US"/>
              </w:rPr>
              <w:t>11</w:t>
            </w:r>
            <w:r w:rsidRPr="00F71120">
              <w:rPr>
                <w:sz w:val="20"/>
                <w:szCs w:val="20"/>
                <w:lang w:val="en-US"/>
              </w:rPr>
              <w:t xml:space="preserve"> particles/km (Bischof et al., 2012)</w:t>
            </w:r>
          </w:p>
        </w:tc>
        <w:tc>
          <w:tcPr>
            <w:tcW w:w="2629" w:type="dxa"/>
            <w:shd w:val="clear" w:color="auto" w:fill="auto"/>
            <w:vAlign w:val="center"/>
          </w:tcPr>
          <w:p w14:paraId="06030F63" w14:textId="77777777" w:rsidR="009E7684" w:rsidRPr="00F71120" w:rsidRDefault="009E7684" w:rsidP="00E41A20">
            <w:pPr>
              <w:spacing w:after="0" w:line="240" w:lineRule="auto"/>
              <w:rPr>
                <w:sz w:val="20"/>
                <w:szCs w:val="20"/>
                <w:vertAlign w:val="superscript"/>
                <w:lang w:val="en-US"/>
              </w:rPr>
            </w:pPr>
            <w:r w:rsidRPr="00F71120">
              <w:rPr>
                <w:sz w:val="20"/>
                <w:szCs w:val="20"/>
                <w:lang w:val="en-US"/>
              </w:rPr>
              <w:t>34-79 EUR/10</w:t>
            </w:r>
            <w:r w:rsidRPr="00F71120">
              <w:rPr>
                <w:sz w:val="20"/>
                <w:szCs w:val="20"/>
                <w:vertAlign w:val="superscript"/>
                <w:lang w:val="en-US"/>
              </w:rPr>
              <w:t>17</w:t>
            </w:r>
          </w:p>
          <w:p w14:paraId="3E71F2A0" w14:textId="77777777" w:rsidR="009E7684" w:rsidRPr="00F71120" w:rsidRDefault="009E7684" w:rsidP="00E41A20">
            <w:pPr>
              <w:spacing w:after="0" w:line="240" w:lineRule="auto"/>
              <w:rPr>
                <w:sz w:val="20"/>
                <w:szCs w:val="20"/>
                <w:lang w:val="en-US"/>
              </w:rPr>
            </w:pPr>
            <w:r w:rsidRPr="00F71120">
              <w:rPr>
                <w:sz w:val="20"/>
                <w:szCs w:val="20"/>
                <w:lang w:val="en-US"/>
              </w:rPr>
              <w:t xml:space="preserve"> particles</w:t>
            </w:r>
          </w:p>
        </w:tc>
      </w:tr>
      <w:tr w:rsidR="009E7684" w:rsidRPr="00C665F0" w14:paraId="49BFB1DE" w14:textId="77777777" w:rsidTr="00E41A20">
        <w:tc>
          <w:tcPr>
            <w:tcW w:w="2727" w:type="dxa"/>
            <w:shd w:val="clear" w:color="auto" w:fill="auto"/>
            <w:vAlign w:val="center"/>
          </w:tcPr>
          <w:p w14:paraId="23F9FEEC" w14:textId="77777777" w:rsidR="009E7684" w:rsidRPr="00F71120" w:rsidRDefault="009E7684" w:rsidP="00E41A20">
            <w:pPr>
              <w:spacing w:after="0" w:line="240" w:lineRule="auto"/>
              <w:rPr>
                <w:sz w:val="20"/>
                <w:szCs w:val="20"/>
                <w:lang w:val="en-US"/>
              </w:rPr>
            </w:pPr>
            <w:r w:rsidRPr="00F71120">
              <w:rPr>
                <w:sz w:val="20"/>
                <w:szCs w:val="20"/>
                <w:lang w:val="en-US"/>
              </w:rPr>
              <w:t xml:space="preserve">Heavy-duty vehicles – </w:t>
            </w:r>
          </w:p>
          <w:p w14:paraId="48B5673F" w14:textId="77777777" w:rsidR="009E7684" w:rsidRPr="00F71120" w:rsidRDefault="009E7684" w:rsidP="00E41A20">
            <w:pPr>
              <w:spacing w:after="0" w:line="240" w:lineRule="auto"/>
              <w:rPr>
                <w:sz w:val="20"/>
                <w:szCs w:val="20"/>
                <w:lang w:val="en-US"/>
              </w:rPr>
            </w:pPr>
            <w:r w:rsidRPr="00F71120">
              <w:rPr>
                <w:sz w:val="20"/>
                <w:szCs w:val="20"/>
                <w:lang w:val="en-US"/>
              </w:rPr>
              <w:t>Diesel particulate filter</w:t>
            </w:r>
          </w:p>
        </w:tc>
        <w:tc>
          <w:tcPr>
            <w:tcW w:w="2551" w:type="dxa"/>
            <w:shd w:val="clear" w:color="auto" w:fill="auto"/>
            <w:vAlign w:val="center"/>
          </w:tcPr>
          <w:p w14:paraId="7246A89C" w14:textId="77777777" w:rsidR="009E7684" w:rsidRPr="00F71120" w:rsidRDefault="009E7684" w:rsidP="00E41A20">
            <w:pPr>
              <w:spacing w:after="0" w:line="240" w:lineRule="auto"/>
              <w:rPr>
                <w:sz w:val="20"/>
                <w:szCs w:val="20"/>
                <w:lang w:val="en-US"/>
              </w:rPr>
            </w:pPr>
            <w:r w:rsidRPr="00F71120">
              <w:rPr>
                <w:sz w:val="20"/>
                <w:szCs w:val="20"/>
                <w:lang w:val="en-US"/>
              </w:rPr>
              <w:t xml:space="preserve">980-1,560 EUR (estimate of manufacturing costs for catalyzed DPFs based on </w:t>
            </w:r>
            <w:proofErr w:type="spellStart"/>
            <w:r w:rsidRPr="00F71120">
              <w:rPr>
                <w:sz w:val="20"/>
                <w:szCs w:val="20"/>
                <w:lang w:val="en-US"/>
              </w:rPr>
              <w:t>Possada</w:t>
            </w:r>
            <w:proofErr w:type="spellEnd"/>
            <w:r w:rsidRPr="00F71120">
              <w:rPr>
                <w:sz w:val="20"/>
                <w:szCs w:val="20"/>
                <w:lang w:val="en-US"/>
              </w:rPr>
              <w:t>, et al., 2016)</w:t>
            </w:r>
            <w:proofErr w:type="spellStart"/>
            <w:r w:rsidRPr="00F71120">
              <w:rPr>
                <w:sz w:val="20"/>
                <w:szCs w:val="20"/>
                <w:vertAlign w:val="superscript"/>
                <w:lang w:val="en-US"/>
              </w:rPr>
              <w:t>d,e</w:t>
            </w:r>
            <w:proofErr w:type="spellEnd"/>
          </w:p>
        </w:tc>
        <w:tc>
          <w:tcPr>
            <w:tcW w:w="2268" w:type="dxa"/>
            <w:shd w:val="clear" w:color="auto" w:fill="auto"/>
            <w:vAlign w:val="center"/>
          </w:tcPr>
          <w:p w14:paraId="1BBF68E0" w14:textId="77777777" w:rsidR="009E7684" w:rsidRPr="00F71120" w:rsidRDefault="009E7684" w:rsidP="00E41A20">
            <w:pPr>
              <w:spacing w:after="0" w:line="240" w:lineRule="auto"/>
              <w:rPr>
                <w:sz w:val="20"/>
                <w:szCs w:val="20"/>
                <w:lang w:val="en-US"/>
              </w:rPr>
            </w:pPr>
            <w:r w:rsidRPr="00F71120">
              <w:rPr>
                <w:sz w:val="20"/>
                <w:szCs w:val="20"/>
                <w:lang w:val="en-US"/>
              </w:rPr>
              <w:t>500,000 km based on Euro VI durability requirements (Delphi, 2017)</w:t>
            </w:r>
          </w:p>
        </w:tc>
        <w:tc>
          <w:tcPr>
            <w:tcW w:w="3119" w:type="dxa"/>
            <w:shd w:val="clear" w:color="auto" w:fill="auto"/>
            <w:vAlign w:val="center"/>
          </w:tcPr>
          <w:p w14:paraId="19272B20" w14:textId="77777777" w:rsidR="009E7684" w:rsidRPr="00F71120" w:rsidRDefault="009E7684" w:rsidP="00E41A20">
            <w:pPr>
              <w:spacing w:after="0" w:line="240" w:lineRule="auto"/>
              <w:rPr>
                <w:sz w:val="20"/>
                <w:szCs w:val="20"/>
                <w:lang w:val="en-US"/>
              </w:rPr>
            </w:pPr>
            <w:r w:rsidRPr="00F71120">
              <w:rPr>
                <w:sz w:val="20"/>
                <w:szCs w:val="20"/>
                <w:lang w:val="en-US"/>
              </w:rPr>
              <w:t>95% PN removal efficacy (Giechaskiel, 2017) to a level of 4*10</w:t>
            </w:r>
            <w:r w:rsidRPr="00F71120">
              <w:rPr>
                <w:sz w:val="20"/>
                <w:szCs w:val="20"/>
                <w:vertAlign w:val="superscript"/>
                <w:lang w:val="en-US"/>
              </w:rPr>
              <w:t>11</w:t>
            </w:r>
            <w:r w:rsidRPr="00F71120">
              <w:rPr>
                <w:sz w:val="20"/>
                <w:szCs w:val="20"/>
                <w:lang w:val="en-US"/>
              </w:rPr>
              <w:t xml:space="preserve"> particles/km (based on Giechaskiel et al., 2016 and a</w:t>
            </w:r>
            <w:r>
              <w:rPr>
                <w:sz w:val="20"/>
                <w:szCs w:val="20"/>
                <w:lang w:val="en-US"/>
              </w:rPr>
              <w:t>n</w:t>
            </w:r>
            <w:r w:rsidRPr="00F71120">
              <w:rPr>
                <w:sz w:val="20"/>
                <w:szCs w:val="20"/>
                <w:lang w:val="en-US"/>
              </w:rPr>
              <w:t xml:space="preserve"> energy use of 1 kWh/km)</w:t>
            </w:r>
          </w:p>
        </w:tc>
        <w:tc>
          <w:tcPr>
            <w:tcW w:w="2629" w:type="dxa"/>
            <w:shd w:val="clear" w:color="auto" w:fill="auto"/>
            <w:vAlign w:val="center"/>
          </w:tcPr>
          <w:p w14:paraId="0EAE249F" w14:textId="77777777" w:rsidR="009E7684" w:rsidRPr="00F71120" w:rsidRDefault="009E7684" w:rsidP="00E41A20">
            <w:pPr>
              <w:spacing w:after="0" w:line="240" w:lineRule="auto"/>
              <w:rPr>
                <w:sz w:val="20"/>
                <w:szCs w:val="20"/>
                <w:lang w:val="en-US"/>
              </w:rPr>
            </w:pPr>
            <w:r w:rsidRPr="00F71120">
              <w:rPr>
                <w:sz w:val="20"/>
                <w:szCs w:val="20"/>
                <w:lang w:val="en-US"/>
              </w:rPr>
              <w:t>26-41 EUR/10</w:t>
            </w:r>
            <w:r w:rsidRPr="00F71120">
              <w:rPr>
                <w:sz w:val="20"/>
                <w:szCs w:val="20"/>
                <w:vertAlign w:val="superscript"/>
                <w:lang w:val="en-US"/>
              </w:rPr>
              <w:t>17</w:t>
            </w:r>
            <w:r w:rsidRPr="00F71120">
              <w:rPr>
                <w:sz w:val="20"/>
                <w:szCs w:val="20"/>
                <w:lang w:val="en-US"/>
              </w:rPr>
              <w:t xml:space="preserve"> particles</w:t>
            </w:r>
          </w:p>
        </w:tc>
      </w:tr>
    </w:tbl>
    <w:p w14:paraId="5A175DC6" w14:textId="77777777" w:rsidR="009E7684" w:rsidRDefault="009E7684" w:rsidP="009E7684">
      <w:pPr>
        <w:spacing w:after="0" w:line="240" w:lineRule="auto"/>
        <w:rPr>
          <w:sz w:val="20"/>
          <w:szCs w:val="20"/>
          <w:lang w:val="en-US"/>
        </w:rPr>
      </w:pPr>
      <w:proofErr w:type="spellStart"/>
      <w:r w:rsidRPr="00733B81">
        <w:rPr>
          <w:sz w:val="20"/>
          <w:szCs w:val="20"/>
          <w:vertAlign w:val="superscript"/>
          <w:lang w:val="en-US"/>
        </w:rPr>
        <w:t>a</w:t>
      </w:r>
      <w:proofErr w:type="spellEnd"/>
      <w:r w:rsidRPr="00733B81">
        <w:rPr>
          <w:sz w:val="20"/>
          <w:szCs w:val="20"/>
          <w:vertAlign w:val="superscript"/>
          <w:lang w:val="en-US"/>
        </w:rPr>
        <w:t xml:space="preserve"> </w:t>
      </w:r>
      <w:r w:rsidRPr="00733B81">
        <w:rPr>
          <w:sz w:val="20"/>
          <w:szCs w:val="20"/>
          <w:lang w:val="en-US"/>
        </w:rPr>
        <w:t xml:space="preserve">We </w:t>
      </w:r>
      <w:r>
        <w:rPr>
          <w:sz w:val="20"/>
          <w:szCs w:val="20"/>
          <w:lang w:val="en-US"/>
        </w:rPr>
        <w:t xml:space="preserve">uniformly </w:t>
      </w:r>
      <w:r w:rsidRPr="00733B81">
        <w:rPr>
          <w:sz w:val="20"/>
          <w:szCs w:val="20"/>
          <w:lang w:val="en-US"/>
        </w:rPr>
        <w:t>assume an exchange rate of 1.10 USD/EUR</w:t>
      </w:r>
      <w:r>
        <w:rPr>
          <w:sz w:val="20"/>
          <w:szCs w:val="20"/>
          <w:lang w:val="en-US"/>
        </w:rPr>
        <w:t>.</w:t>
      </w:r>
    </w:p>
    <w:p w14:paraId="4D7563C0" w14:textId="77777777" w:rsidR="009E7684" w:rsidRDefault="009E7684" w:rsidP="009E7684">
      <w:pPr>
        <w:tabs>
          <w:tab w:val="left" w:pos="8904"/>
        </w:tabs>
        <w:spacing w:after="0" w:line="240" w:lineRule="auto"/>
        <w:rPr>
          <w:sz w:val="20"/>
          <w:szCs w:val="20"/>
          <w:lang w:val="en-US"/>
        </w:rPr>
      </w:pPr>
      <w:r w:rsidRPr="00733B81">
        <w:rPr>
          <w:sz w:val="20"/>
          <w:szCs w:val="20"/>
          <w:vertAlign w:val="superscript"/>
          <w:lang w:val="en-US"/>
        </w:rPr>
        <w:t>b</w:t>
      </w:r>
      <w:r>
        <w:rPr>
          <w:sz w:val="20"/>
          <w:szCs w:val="20"/>
          <w:lang w:val="en-US"/>
        </w:rPr>
        <w:t xml:space="preserve"> We assume</w:t>
      </w:r>
      <w:r w:rsidRPr="00733B81">
        <w:rPr>
          <w:sz w:val="20"/>
          <w:szCs w:val="20"/>
          <w:lang w:val="en-US"/>
        </w:rPr>
        <w:t xml:space="preserve"> for the lower margin a cost reduction of 30</w:t>
      </w:r>
      <w:r>
        <w:rPr>
          <w:sz w:val="20"/>
          <w:szCs w:val="20"/>
          <w:lang w:val="en-US"/>
        </w:rPr>
        <w:t xml:space="preserve">% </w:t>
      </w:r>
      <w:r w:rsidRPr="00733B81">
        <w:rPr>
          <w:sz w:val="20"/>
          <w:szCs w:val="20"/>
          <w:lang w:val="en-US"/>
        </w:rPr>
        <w:t>between 2012 and 2017.</w:t>
      </w:r>
      <w:r>
        <w:rPr>
          <w:sz w:val="20"/>
          <w:szCs w:val="20"/>
          <w:lang w:val="en-US"/>
        </w:rPr>
        <w:tab/>
      </w:r>
    </w:p>
    <w:p w14:paraId="2B808907" w14:textId="77777777" w:rsidR="009E7684" w:rsidRDefault="009E7684" w:rsidP="009E7684">
      <w:pPr>
        <w:spacing w:after="0" w:line="240" w:lineRule="auto"/>
        <w:rPr>
          <w:sz w:val="20"/>
          <w:szCs w:val="20"/>
          <w:lang w:val="en-US"/>
        </w:rPr>
      </w:pPr>
      <w:r>
        <w:rPr>
          <w:sz w:val="20"/>
          <w:szCs w:val="20"/>
          <w:vertAlign w:val="superscript"/>
          <w:lang w:val="en-US"/>
        </w:rPr>
        <w:t>c</w:t>
      </w:r>
      <w:r>
        <w:rPr>
          <w:sz w:val="20"/>
          <w:szCs w:val="20"/>
          <w:lang w:val="en-US"/>
        </w:rPr>
        <w:t xml:space="preserve"> In the case of after-treatment technologies for vehicle emissions, we  assume technology levels necessary to comply with the Euro 6 emissions limits for light-duty vehicles.</w:t>
      </w:r>
    </w:p>
    <w:p w14:paraId="7D15A7EF" w14:textId="77777777" w:rsidR="009E7684" w:rsidRDefault="009E7684" w:rsidP="009E7684">
      <w:pPr>
        <w:spacing w:after="0" w:line="240" w:lineRule="auto"/>
        <w:rPr>
          <w:sz w:val="20"/>
          <w:szCs w:val="20"/>
          <w:lang w:val="en-US"/>
        </w:rPr>
      </w:pPr>
      <w:r>
        <w:rPr>
          <w:sz w:val="20"/>
          <w:szCs w:val="20"/>
          <w:vertAlign w:val="superscript"/>
          <w:lang w:val="en-US"/>
        </w:rPr>
        <w:t>d</w:t>
      </w:r>
      <w:r>
        <w:rPr>
          <w:sz w:val="20"/>
          <w:szCs w:val="20"/>
          <w:lang w:val="en-US"/>
        </w:rPr>
        <w:t xml:space="preserve"> Considering production costs only.</w:t>
      </w:r>
    </w:p>
    <w:p w14:paraId="152CE023" w14:textId="5CB3E834" w:rsidR="008075F4" w:rsidRDefault="009E7684" w:rsidP="00FA3112">
      <w:pPr>
        <w:spacing w:after="0" w:line="240" w:lineRule="auto"/>
        <w:rPr>
          <w:sz w:val="20"/>
          <w:szCs w:val="20"/>
          <w:lang w:val="en-US"/>
        </w:rPr>
      </w:pPr>
      <w:r>
        <w:rPr>
          <w:sz w:val="20"/>
          <w:szCs w:val="20"/>
          <w:vertAlign w:val="superscript"/>
          <w:lang w:val="en-US"/>
        </w:rPr>
        <w:t>e</w:t>
      </w:r>
      <w:r>
        <w:rPr>
          <w:sz w:val="20"/>
          <w:szCs w:val="20"/>
          <w:lang w:val="en-US"/>
        </w:rPr>
        <w:t xml:space="preserve"> Rough estimate based on costs given by EPA (2015) in USD</w:t>
      </w:r>
      <w:r w:rsidRPr="00696B54">
        <w:rPr>
          <w:sz w:val="20"/>
          <w:szCs w:val="20"/>
          <w:vertAlign w:val="subscript"/>
          <w:lang w:val="en-US"/>
        </w:rPr>
        <w:t>2011</w:t>
      </w:r>
      <w:r>
        <w:rPr>
          <w:sz w:val="20"/>
          <w:szCs w:val="20"/>
          <w:lang w:val="en-US"/>
        </w:rPr>
        <w:t xml:space="preserve">; assuming an exchange rate of </w:t>
      </w:r>
      <w:r w:rsidRPr="00733B81">
        <w:rPr>
          <w:sz w:val="20"/>
          <w:szCs w:val="20"/>
          <w:lang w:val="en-US"/>
        </w:rPr>
        <w:t>1.10 USD/EUR</w:t>
      </w:r>
      <w:r w:rsidR="00A2181F">
        <w:rPr>
          <w:sz w:val="20"/>
          <w:szCs w:val="20"/>
          <w:lang w:val="en-US"/>
        </w:rPr>
        <w:t>.</w:t>
      </w:r>
    </w:p>
    <w:p w14:paraId="7CDFF7D1" w14:textId="77777777" w:rsidR="00A2181F" w:rsidRDefault="00A2181F" w:rsidP="00FA3112">
      <w:pPr>
        <w:spacing w:after="0" w:line="240" w:lineRule="auto"/>
        <w:rPr>
          <w:sz w:val="20"/>
          <w:szCs w:val="20"/>
          <w:lang w:val="en-US"/>
        </w:rPr>
        <w:sectPr w:rsidR="00A2181F" w:rsidSect="00284AA5">
          <w:footnotePr>
            <w:numStart w:val="4"/>
          </w:footnotePr>
          <w:pgSz w:w="16838" w:h="11906" w:orient="landscape"/>
          <w:pgMar w:top="1417" w:right="1417" w:bottom="1417" w:left="1134" w:header="708" w:footer="708" w:gutter="0"/>
          <w:cols w:space="708"/>
          <w:docGrid w:linePitch="360"/>
        </w:sectPr>
      </w:pPr>
    </w:p>
    <w:p w14:paraId="451C35D2" w14:textId="77777777" w:rsidR="00B5043A" w:rsidRPr="00B5043A" w:rsidRDefault="00B5043A" w:rsidP="00B5043A">
      <w:pPr>
        <w:spacing w:after="0"/>
        <w:rPr>
          <w:szCs w:val="24"/>
          <w:lang w:val="en-US"/>
        </w:rPr>
      </w:pPr>
    </w:p>
    <w:p w14:paraId="0EE192EA" w14:textId="4B5D01A8" w:rsidR="00956B0D" w:rsidRDefault="007C5909" w:rsidP="00956B0D">
      <w:pPr>
        <w:pBdr>
          <w:top w:val="single" w:sz="4" w:space="1" w:color="auto"/>
          <w:left w:val="single" w:sz="4" w:space="4" w:color="auto"/>
          <w:bottom w:val="single" w:sz="4" w:space="1" w:color="auto"/>
          <w:right w:val="single" w:sz="4" w:space="4" w:color="auto"/>
        </w:pBdr>
        <w:spacing w:after="0"/>
        <w:rPr>
          <w:bCs/>
          <w:szCs w:val="24"/>
          <w:lang w:val="en-US"/>
        </w:rPr>
      </w:pPr>
      <w:r>
        <w:rPr>
          <w:bCs/>
          <w:szCs w:val="24"/>
          <w:lang w:val="en-US"/>
        </w:rPr>
        <w:t>Text Box 1</w:t>
      </w:r>
      <w:r w:rsidR="00956B0D">
        <w:rPr>
          <w:bCs/>
          <w:szCs w:val="24"/>
          <w:lang w:val="en-US"/>
        </w:rPr>
        <w:t>: Specific price of electric cars in terms of battery capacity</w:t>
      </w:r>
    </w:p>
    <w:p w14:paraId="0BF76600" w14:textId="7ECDDB5E" w:rsidR="00284AA5" w:rsidRDefault="00956B0D" w:rsidP="00956B0D">
      <w:pPr>
        <w:pBdr>
          <w:top w:val="single" w:sz="4" w:space="1" w:color="auto"/>
          <w:left w:val="single" w:sz="4" w:space="4" w:color="auto"/>
          <w:bottom w:val="single" w:sz="4" w:space="1" w:color="auto"/>
          <w:right w:val="single" w:sz="4" w:space="4" w:color="auto"/>
        </w:pBdr>
        <w:spacing w:after="0"/>
        <w:rPr>
          <w:bCs/>
          <w:szCs w:val="24"/>
          <w:lang w:val="en-US"/>
        </w:rPr>
      </w:pPr>
      <w:r>
        <w:rPr>
          <w:bCs/>
          <w:szCs w:val="24"/>
          <w:lang w:val="en-US"/>
        </w:rPr>
        <w:t xml:space="preserve"> </w:t>
      </w:r>
    </w:p>
    <w:p w14:paraId="6D4DE697" w14:textId="78C1D60E" w:rsidR="00956B0D" w:rsidRPr="002D17E8" w:rsidRDefault="00956B0D" w:rsidP="00956B0D">
      <w:pPr>
        <w:pBdr>
          <w:top w:val="single" w:sz="4" w:space="1" w:color="auto"/>
          <w:left w:val="single" w:sz="4" w:space="4" w:color="auto"/>
          <w:bottom w:val="single" w:sz="4" w:space="1" w:color="auto"/>
          <w:right w:val="single" w:sz="4" w:space="4" w:color="auto"/>
        </w:pBdr>
        <w:spacing w:after="0"/>
        <w:rPr>
          <w:b/>
          <w:lang w:val="en-US"/>
        </w:rPr>
      </w:pPr>
      <w:r>
        <w:rPr>
          <w:lang w:val="en-US"/>
        </w:rPr>
        <w:t>Expressing the price of electric cars in terms of battery capacity [kWh], we find a decline in the mean specific price by 50% from 2,500 ± 1,500 EUR</w:t>
      </w:r>
      <w:r w:rsidRPr="00AB6044">
        <w:rPr>
          <w:vertAlign w:val="subscript"/>
          <w:lang w:val="en-US"/>
        </w:rPr>
        <w:t>2015</w:t>
      </w:r>
      <w:r>
        <w:rPr>
          <w:lang w:val="en-US"/>
        </w:rPr>
        <w:t>/kWh in 2010 to 1,240 ± 430 EUR</w:t>
      </w:r>
      <w:r w:rsidRPr="00AB6044">
        <w:rPr>
          <w:vertAlign w:val="subscript"/>
          <w:lang w:val="en-US"/>
        </w:rPr>
        <w:t>2015</w:t>
      </w:r>
      <w:r>
        <w:rPr>
          <w:lang w:val="en-US"/>
        </w:rPr>
        <w:t xml:space="preserve">/kWh in 2016. The experience curve analysis reveals a </w:t>
      </w:r>
      <w:r w:rsidRPr="002571C7">
        <w:rPr>
          <w:lang w:val="en-US"/>
        </w:rPr>
        <w:t>learning rate</w:t>
      </w:r>
      <w:r>
        <w:rPr>
          <w:lang w:val="en-US"/>
        </w:rPr>
        <w:t xml:space="preserve"> of 16 ± 2% (Figure 3), which differs from the 23 </w:t>
      </w:r>
      <w:r w:rsidRPr="00606658">
        <w:rPr>
          <w:lang w:val="en-US"/>
        </w:rPr>
        <w:t>±</w:t>
      </w:r>
      <w:r>
        <w:rPr>
          <w:lang w:val="en-US"/>
        </w:rPr>
        <w:t xml:space="preserve"> 2% observed in Figure 2a. As this finding suggests, the choice of motor power [kW] versus battery capacity [kWh] as functional unit indeed affects the result of the experience curve analysis despite the strong correlation between the two parameters. </w:t>
      </w:r>
    </w:p>
    <w:p w14:paraId="609410C9" w14:textId="77777777" w:rsidR="00956B0D" w:rsidRDefault="00956B0D" w:rsidP="00956B0D">
      <w:pPr>
        <w:pBdr>
          <w:top w:val="single" w:sz="4" w:space="1" w:color="auto"/>
          <w:left w:val="single" w:sz="4" w:space="4" w:color="auto"/>
          <w:bottom w:val="single" w:sz="4" w:space="1" w:color="auto"/>
          <w:right w:val="single" w:sz="4" w:space="4" w:color="auto"/>
        </w:pBdr>
        <w:spacing w:after="0"/>
        <w:rPr>
          <w:lang w:val="en-US"/>
        </w:rPr>
      </w:pPr>
    </w:p>
    <w:p w14:paraId="2B54D872" w14:textId="7CCC286B" w:rsidR="00956B0D" w:rsidRDefault="00A81D7A" w:rsidP="00956B0D">
      <w:pPr>
        <w:pBdr>
          <w:top w:val="single" w:sz="4" w:space="1" w:color="auto"/>
          <w:left w:val="single" w:sz="4" w:space="4" w:color="auto"/>
          <w:bottom w:val="single" w:sz="4" w:space="1" w:color="auto"/>
          <w:right w:val="single" w:sz="4" w:space="4" w:color="auto"/>
        </w:pBdr>
        <w:spacing w:after="0"/>
        <w:rPr>
          <w:lang w:val="en-US"/>
        </w:rPr>
      </w:pPr>
      <w:r w:rsidRPr="00A81D7A">
        <w:rPr>
          <w:noProof/>
        </w:rPr>
        <w:drawing>
          <wp:inline distT="0" distB="0" distL="0" distR="0" wp14:anchorId="67529439" wp14:editId="71CA4102">
            <wp:extent cx="4224991" cy="3126659"/>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121" r="3279"/>
                    <a:stretch/>
                  </pic:blipFill>
                  <pic:spPr bwMode="auto">
                    <a:xfrm>
                      <a:off x="0" y="0"/>
                      <a:ext cx="4232824" cy="3132456"/>
                    </a:xfrm>
                    <a:prstGeom prst="rect">
                      <a:avLst/>
                    </a:prstGeom>
                    <a:noFill/>
                    <a:ln>
                      <a:noFill/>
                    </a:ln>
                    <a:extLst>
                      <a:ext uri="{53640926-AAD7-44D8-BBD7-CCE9431645EC}">
                        <a14:shadowObscured xmlns:a14="http://schemas.microsoft.com/office/drawing/2010/main"/>
                      </a:ext>
                    </a:extLst>
                  </pic:spPr>
                </pic:pic>
              </a:graphicData>
            </a:graphic>
          </wp:inline>
        </w:drawing>
      </w:r>
    </w:p>
    <w:p w14:paraId="710056B1" w14:textId="0DE8CB03" w:rsidR="00956B0D" w:rsidRPr="004575A7" w:rsidRDefault="00956B0D" w:rsidP="00956B0D">
      <w:pPr>
        <w:pStyle w:val="Beschriftung"/>
        <w:pBdr>
          <w:top w:val="single" w:sz="4" w:space="1" w:color="auto"/>
          <w:left w:val="single" w:sz="4" w:space="4" w:color="auto"/>
          <w:bottom w:val="single" w:sz="4" w:space="1" w:color="auto"/>
          <w:right w:val="single" w:sz="4" w:space="4" w:color="auto"/>
        </w:pBdr>
        <w:spacing w:after="0" w:line="360" w:lineRule="auto"/>
        <w:ind w:left="1134" w:hanging="1134"/>
        <w:rPr>
          <w:noProof/>
          <w:sz w:val="24"/>
          <w:szCs w:val="24"/>
          <w:lang w:val="en-US"/>
        </w:rPr>
      </w:pPr>
      <w:bookmarkStart w:id="6" w:name="_Ref478345972"/>
      <w:bookmarkStart w:id="7" w:name="_Toc482754104"/>
      <w:bookmarkStart w:id="8" w:name="_Toc483179356"/>
      <w:r w:rsidRPr="003C5245">
        <w:rPr>
          <w:sz w:val="24"/>
          <w:szCs w:val="24"/>
          <w:lang w:val="en-US"/>
        </w:rPr>
        <w:t>Figure</w:t>
      </w:r>
      <w:bookmarkEnd w:id="6"/>
      <w:r>
        <w:rPr>
          <w:sz w:val="24"/>
          <w:szCs w:val="24"/>
          <w:lang w:val="en-US"/>
        </w:rPr>
        <w:t xml:space="preserve"> S1</w:t>
      </w:r>
      <w:r w:rsidRPr="003C5245">
        <w:rPr>
          <w:noProof/>
          <w:sz w:val="24"/>
          <w:szCs w:val="24"/>
          <w:lang w:val="en-US"/>
        </w:rPr>
        <w:t xml:space="preserve">: </w:t>
      </w:r>
      <w:r>
        <w:rPr>
          <w:noProof/>
          <w:sz w:val="24"/>
          <w:szCs w:val="24"/>
          <w:lang w:val="en-US"/>
        </w:rPr>
        <w:tab/>
        <w:t>Experience curve depicting</w:t>
      </w:r>
      <w:r w:rsidRPr="003C5245">
        <w:rPr>
          <w:noProof/>
          <w:sz w:val="24"/>
          <w:szCs w:val="24"/>
          <w:lang w:val="en-US"/>
        </w:rPr>
        <w:t xml:space="preserve"> the </w:t>
      </w:r>
      <w:r>
        <w:rPr>
          <w:noProof/>
          <w:sz w:val="24"/>
          <w:szCs w:val="24"/>
          <w:lang w:val="en-US"/>
        </w:rPr>
        <w:t xml:space="preserve">mean </w:t>
      </w:r>
      <w:r w:rsidRPr="003C5245">
        <w:rPr>
          <w:noProof/>
          <w:sz w:val="24"/>
          <w:szCs w:val="24"/>
          <w:lang w:val="en-US"/>
        </w:rPr>
        <w:t xml:space="preserve">specific price of </w:t>
      </w:r>
      <w:r>
        <w:rPr>
          <w:noProof/>
          <w:sz w:val="24"/>
          <w:szCs w:val="24"/>
          <w:lang w:val="en-US"/>
        </w:rPr>
        <w:t>electric cars (</w:t>
      </w:r>
      <w:r w:rsidRPr="003C5245">
        <w:rPr>
          <w:noProof/>
          <w:sz w:val="24"/>
          <w:szCs w:val="24"/>
          <w:lang w:val="en-US"/>
        </w:rPr>
        <w:t>BEVs</w:t>
      </w:r>
      <w:r>
        <w:rPr>
          <w:noProof/>
          <w:sz w:val="24"/>
          <w:szCs w:val="24"/>
          <w:lang w:val="en-US"/>
        </w:rPr>
        <w:t>)</w:t>
      </w:r>
      <w:r w:rsidRPr="003C5245">
        <w:rPr>
          <w:noProof/>
          <w:sz w:val="24"/>
          <w:szCs w:val="24"/>
          <w:lang w:val="en-US"/>
        </w:rPr>
        <w:t xml:space="preserve"> expressed per unit of </w:t>
      </w:r>
      <w:r w:rsidRPr="004575A7">
        <w:rPr>
          <w:noProof/>
          <w:sz w:val="24"/>
          <w:szCs w:val="24"/>
          <w:lang w:val="en-US"/>
        </w:rPr>
        <w:t>battery capacity</w:t>
      </w:r>
      <w:r>
        <w:rPr>
          <w:noProof/>
          <w:sz w:val="24"/>
          <w:szCs w:val="24"/>
          <w:lang w:val="en-US"/>
        </w:rPr>
        <w:t xml:space="preserve"> [kWh]</w:t>
      </w:r>
      <w:r w:rsidRPr="004575A7">
        <w:rPr>
          <w:noProof/>
          <w:sz w:val="24"/>
          <w:szCs w:val="24"/>
          <w:lang w:val="en-US"/>
        </w:rPr>
        <w:t xml:space="preserve">; error </w:t>
      </w:r>
      <w:r>
        <w:rPr>
          <w:noProof/>
          <w:sz w:val="24"/>
          <w:szCs w:val="24"/>
          <w:lang w:val="en-US"/>
        </w:rPr>
        <w:t>intervals</w:t>
      </w:r>
      <w:r w:rsidRPr="004575A7">
        <w:rPr>
          <w:noProof/>
          <w:sz w:val="24"/>
          <w:szCs w:val="24"/>
          <w:lang w:val="en-US"/>
        </w:rPr>
        <w:t xml:space="preserve"> </w:t>
      </w:r>
      <w:r>
        <w:rPr>
          <w:noProof/>
          <w:sz w:val="24"/>
          <w:szCs w:val="24"/>
          <w:lang w:val="en-US"/>
        </w:rPr>
        <w:t>represent the standard deviation</w:t>
      </w:r>
      <w:r w:rsidRPr="004575A7">
        <w:rPr>
          <w:noProof/>
          <w:sz w:val="24"/>
          <w:szCs w:val="24"/>
          <w:lang w:val="en-US"/>
        </w:rPr>
        <w:t xml:space="preserve"> of price data</w:t>
      </w:r>
      <w:bookmarkEnd w:id="7"/>
      <w:bookmarkEnd w:id="8"/>
    </w:p>
    <w:p w14:paraId="23902E53" w14:textId="77777777" w:rsidR="00956B0D" w:rsidRPr="00956B0D" w:rsidRDefault="00956B0D" w:rsidP="00284AA5">
      <w:pPr>
        <w:spacing w:after="0" w:line="240" w:lineRule="auto"/>
        <w:rPr>
          <w:bCs/>
          <w:szCs w:val="24"/>
          <w:lang w:val="en-US"/>
        </w:rPr>
      </w:pPr>
    </w:p>
    <w:p w14:paraId="2972D267" w14:textId="77777777" w:rsidR="00284AA5" w:rsidRPr="00806230" w:rsidRDefault="00284AA5" w:rsidP="00284AA5">
      <w:pPr>
        <w:spacing w:after="0" w:line="240" w:lineRule="auto"/>
        <w:rPr>
          <w:bCs/>
          <w:sz w:val="20"/>
          <w:szCs w:val="20"/>
          <w:lang w:val="en-US"/>
        </w:rPr>
      </w:pPr>
    </w:p>
    <w:p w14:paraId="2665BC87" w14:textId="6281AAAC" w:rsidR="00284AA5" w:rsidRDefault="00284AA5" w:rsidP="00FA3112">
      <w:pPr>
        <w:spacing w:after="0" w:line="240" w:lineRule="auto"/>
        <w:rPr>
          <w:sz w:val="20"/>
          <w:szCs w:val="20"/>
          <w:lang w:val="en-US"/>
        </w:rPr>
      </w:pPr>
    </w:p>
    <w:p w14:paraId="1440491A" w14:textId="77777777" w:rsidR="00FC15FE" w:rsidRDefault="00FC15FE" w:rsidP="00FA3112">
      <w:pPr>
        <w:spacing w:after="0" w:line="240" w:lineRule="auto"/>
        <w:rPr>
          <w:sz w:val="20"/>
          <w:szCs w:val="20"/>
          <w:lang w:val="en-US"/>
        </w:rPr>
        <w:sectPr w:rsidR="00FC15FE" w:rsidSect="00BD75B0">
          <w:footnotePr>
            <w:numStart w:val="4"/>
          </w:footnotePr>
          <w:pgSz w:w="11906" w:h="16838"/>
          <w:pgMar w:top="1417" w:right="1417" w:bottom="1134" w:left="1417" w:header="708" w:footer="708" w:gutter="0"/>
          <w:cols w:space="708"/>
          <w:docGrid w:linePitch="360"/>
        </w:sectPr>
      </w:pPr>
    </w:p>
    <w:p w14:paraId="01412831" w14:textId="3E2B9F66" w:rsidR="00FC15FE" w:rsidRDefault="007C5909" w:rsidP="00FC15FE">
      <w:pPr>
        <w:pBdr>
          <w:top w:val="single" w:sz="4" w:space="1" w:color="auto"/>
          <w:left w:val="single" w:sz="4" w:space="4" w:color="auto"/>
          <w:bottom w:val="single" w:sz="4" w:space="1" w:color="auto"/>
          <w:right w:val="single" w:sz="4" w:space="4" w:color="auto"/>
        </w:pBdr>
        <w:spacing w:after="0"/>
        <w:rPr>
          <w:lang w:val="en-US"/>
        </w:rPr>
      </w:pPr>
      <w:r>
        <w:rPr>
          <w:lang w:val="en-US"/>
        </w:rPr>
        <w:lastRenderedPageBreak/>
        <w:t>Text Box 2</w:t>
      </w:r>
      <w:r w:rsidR="00FC15FE">
        <w:rPr>
          <w:lang w:val="en-US"/>
        </w:rPr>
        <w:t xml:space="preserve">: </w:t>
      </w:r>
      <w:r w:rsidR="00FC15FE">
        <w:rPr>
          <w:lang w:val="en-US"/>
        </w:rPr>
        <w:tab/>
        <w:t>Key uncertainties related to our experience curve analysis</w:t>
      </w:r>
    </w:p>
    <w:p w14:paraId="458AE2BC" w14:textId="77777777" w:rsidR="00FC15FE" w:rsidRPr="0072430D" w:rsidRDefault="00FC15FE" w:rsidP="00FC15FE">
      <w:pPr>
        <w:pBdr>
          <w:top w:val="single" w:sz="4" w:space="1" w:color="auto"/>
          <w:left w:val="single" w:sz="4" w:space="4" w:color="auto"/>
          <w:bottom w:val="single" w:sz="4" w:space="1" w:color="auto"/>
          <w:right w:val="single" w:sz="4" w:space="4" w:color="auto"/>
        </w:pBdr>
        <w:spacing w:after="0"/>
        <w:rPr>
          <w:lang w:val="en-US"/>
        </w:rPr>
      </w:pPr>
    </w:p>
    <w:p w14:paraId="3BAF86B0" w14:textId="06ABFF30" w:rsidR="00FC15FE" w:rsidRDefault="00FC15FE" w:rsidP="00FC15FE">
      <w:pPr>
        <w:pBdr>
          <w:top w:val="single" w:sz="4" w:space="1" w:color="auto"/>
          <w:left w:val="single" w:sz="4" w:space="4" w:color="auto"/>
          <w:bottom w:val="single" w:sz="4" w:space="1" w:color="auto"/>
          <w:right w:val="single" w:sz="4" w:space="4" w:color="auto"/>
        </w:pBdr>
        <w:spacing w:after="0"/>
        <w:rPr>
          <w:lang w:val="en-US"/>
        </w:rPr>
      </w:pPr>
      <w:r>
        <w:rPr>
          <w:lang w:val="en-US"/>
        </w:rPr>
        <w:t xml:space="preserve">1. </w:t>
      </w:r>
      <w:r w:rsidRPr="00FC15FE">
        <w:rPr>
          <w:lang w:val="en-US"/>
        </w:rPr>
        <w:t>We approximate production costs by vehicle price, thereby assuming constant profit margins. As suggested by the rapidly declining prices of electric cars between 2010 and 2014 and the price stagnation in the period afterward, profit margins may not have remained constant but instead declined after a larger number of manufacturers began selling electric cars and plug-in hybrids. If so, the learning rates estimated here may not remain constant but could decline in the future.</w:t>
      </w:r>
    </w:p>
    <w:p w14:paraId="44C49B69" w14:textId="77777777" w:rsidR="00FC15FE" w:rsidRPr="00FC15FE" w:rsidRDefault="00FC15FE" w:rsidP="00FC15FE">
      <w:pPr>
        <w:pBdr>
          <w:top w:val="single" w:sz="4" w:space="1" w:color="auto"/>
          <w:left w:val="single" w:sz="4" w:space="4" w:color="auto"/>
          <w:bottom w:val="single" w:sz="4" w:space="1" w:color="auto"/>
          <w:right w:val="single" w:sz="4" w:space="4" w:color="auto"/>
        </w:pBdr>
        <w:spacing w:after="0"/>
        <w:rPr>
          <w:lang w:val="en-US"/>
        </w:rPr>
      </w:pPr>
    </w:p>
    <w:p w14:paraId="57CEF231" w14:textId="50CD82FD" w:rsidR="00FC15FE" w:rsidRDefault="00FC15FE" w:rsidP="00FC15FE">
      <w:pPr>
        <w:pBdr>
          <w:top w:val="single" w:sz="4" w:space="1" w:color="auto"/>
          <w:left w:val="single" w:sz="4" w:space="4" w:color="auto"/>
          <w:bottom w:val="single" w:sz="4" w:space="1" w:color="auto"/>
          <w:right w:val="single" w:sz="4" w:space="4" w:color="auto"/>
        </w:pBdr>
        <w:spacing w:after="0"/>
        <w:rPr>
          <w:lang w:val="en-US"/>
        </w:rPr>
      </w:pPr>
      <w:r>
        <w:rPr>
          <w:lang w:val="en-US"/>
        </w:rPr>
        <w:t xml:space="preserve">2. </w:t>
      </w:r>
      <w:r w:rsidRPr="00FC15FE">
        <w:rPr>
          <w:lang w:val="en-US"/>
        </w:rPr>
        <w:t>The technical characteristics of electric and plug-in hybrid cars have arguably been changing in the period of our analysis, most notably through the introduction of novel infotainment systems, driver’s assistance, and safety features. Such technological heterogeneity leads to a, supposedly small, underestimation of learning rates.</w:t>
      </w:r>
    </w:p>
    <w:p w14:paraId="603AA479" w14:textId="77777777" w:rsidR="00FC15FE" w:rsidRPr="00FC15FE" w:rsidRDefault="00FC15FE" w:rsidP="00FC15FE">
      <w:pPr>
        <w:pBdr>
          <w:top w:val="single" w:sz="4" w:space="1" w:color="auto"/>
          <w:left w:val="single" w:sz="4" w:space="4" w:color="auto"/>
          <w:bottom w:val="single" w:sz="4" w:space="1" w:color="auto"/>
          <w:right w:val="single" w:sz="4" w:space="4" w:color="auto"/>
        </w:pBdr>
        <w:spacing w:after="0"/>
        <w:rPr>
          <w:lang w:val="en-US"/>
        </w:rPr>
      </w:pPr>
    </w:p>
    <w:p w14:paraId="392E2874" w14:textId="60C86ACC" w:rsidR="00FC15FE" w:rsidRDefault="00FC15FE" w:rsidP="00FC15FE">
      <w:pPr>
        <w:pBdr>
          <w:top w:val="single" w:sz="4" w:space="1" w:color="auto"/>
          <w:left w:val="single" w:sz="4" w:space="4" w:color="auto"/>
          <w:bottom w:val="single" w:sz="4" w:space="1" w:color="auto"/>
          <w:right w:val="single" w:sz="4" w:space="4" w:color="auto"/>
        </w:pBdr>
        <w:spacing w:after="0"/>
        <w:rPr>
          <w:lang w:val="en-US"/>
        </w:rPr>
      </w:pPr>
      <w:r>
        <w:rPr>
          <w:lang w:val="en-US"/>
        </w:rPr>
        <w:t xml:space="preserve">3. </w:t>
      </w:r>
      <w:r w:rsidRPr="00FC15FE">
        <w:rPr>
          <w:lang w:val="en-US"/>
        </w:rPr>
        <w:t xml:space="preserve">The identified learning rates are technology specific. That is, if the technology of electric and plug-in hybrid cars change in the future (e.g., through the introduction of wheel-hub motors, advanced semiconductors, or solid-state batteries), learning rates may change as well. Therefore, caution is needed when using our findings to forecast the prices and production costs of electric and plug-in hybrid cars in the long term. </w:t>
      </w:r>
    </w:p>
    <w:p w14:paraId="1E633D7D" w14:textId="77777777" w:rsidR="00FC15FE" w:rsidRPr="00FC15FE" w:rsidRDefault="00FC15FE" w:rsidP="00FC15FE">
      <w:pPr>
        <w:pBdr>
          <w:top w:val="single" w:sz="4" w:space="1" w:color="auto"/>
          <w:left w:val="single" w:sz="4" w:space="4" w:color="auto"/>
          <w:bottom w:val="single" w:sz="4" w:space="1" w:color="auto"/>
          <w:right w:val="single" w:sz="4" w:space="4" w:color="auto"/>
        </w:pBdr>
        <w:spacing w:after="0"/>
        <w:rPr>
          <w:lang w:val="en-US"/>
        </w:rPr>
      </w:pPr>
    </w:p>
    <w:p w14:paraId="3AD2BE23" w14:textId="103482CC" w:rsidR="00FC15FE" w:rsidRDefault="00FC15FE" w:rsidP="00FC15FE">
      <w:pPr>
        <w:pBdr>
          <w:top w:val="single" w:sz="4" w:space="1" w:color="auto"/>
          <w:left w:val="single" w:sz="4" w:space="4" w:color="auto"/>
          <w:bottom w:val="single" w:sz="4" w:space="1" w:color="auto"/>
          <w:right w:val="single" w:sz="4" w:space="4" w:color="auto"/>
        </w:pBdr>
        <w:spacing w:after="0"/>
        <w:rPr>
          <w:lang w:val="en-US"/>
        </w:rPr>
      </w:pPr>
      <w:r>
        <w:rPr>
          <w:lang w:val="en-US"/>
        </w:rPr>
        <w:t xml:space="preserve">4. </w:t>
      </w:r>
      <w:r w:rsidRPr="00FC15FE">
        <w:rPr>
          <w:lang w:val="en-US"/>
        </w:rPr>
        <w:t xml:space="preserve">As the battery capacity of individual electric and plug-in hybrid car models tends to increase over time (Zerfass, 2017), cumulative battery capacity may be a more reliable experience indicator than the number of vehicles sold. The latter indicator may, therefore, underestimate the accumulated experience and thus overestimate learning rates. Future research could seek to advance this point. </w:t>
      </w:r>
    </w:p>
    <w:p w14:paraId="6519807E" w14:textId="77777777" w:rsidR="00FC15FE" w:rsidRPr="00FC15FE" w:rsidRDefault="00FC15FE" w:rsidP="00FC15FE">
      <w:pPr>
        <w:pBdr>
          <w:top w:val="single" w:sz="4" w:space="1" w:color="auto"/>
          <w:left w:val="single" w:sz="4" w:space="4" w:color="auto"/>
          <w:bottom w:val="single" w:sz="4" w:space="1" w:color="auto"/>
          <w:right w:val="single" w:sz="4" w:space="4" w:color="auto"/>
        </w:pBdr>
        <w:spacing w:after="0"/>
        <w:rPr>
          <w:lang w:val="en-US"/>
        </w:rPr>
      </w:pPr>
    </w:p>
    <w:p w14:paraId="41D50FF1" w14:textId="4FB4C5EA" w:rsidR="00FC15FE" w:rsidRPr="00FC15FE" w:rsidRDefault="00FC15FE" w:rsidP="00FC15FE">
      <w:pPr>
        <w:pBdr>
          <w:top w:val="single" w:sz="4" w:space="1" w:color="auto"/>
          <w:left w:val="single" w:sz="4" w:space="4" w:color="auto"/>
          <w:bottom w:val="single" w:sz="4" w:space="1" w:color="auto"/>
          <w:right w:val="single" w:sz="4" w:space="4" w:color="auto"/>
        </w:pBdr>
        <w:spacing w:after="0"/>
        <w:rPr>
          <w:lang w:val="en-US"/>
        </w:rPr>
      </w:pPr>
      <w:r>
        <w:rPr>
          <w:lang w:val="en-US"/>
        </w:rPr>
        <w:t xml:space="preserve">5. </w:t>
      </w:r>
      <w:r w:rsidRPr="00FC15FE">
        <w:rPr>
          <w:lang w:val="en-US"/>
        </w:rPr>
        <w:t>We calculate learning rates based on the yearly mean price and price differential of electric and plug-in hybrid cars and thus do not account for the variability of these parameters within individual years. Our choice ensures each year receives an equal weight in the experience curve analysis, but it fails to account for actual sales of individual models and it disguises uncertainty arising from the large variability in the price of electric and plug-in hybrid car models sold each year.</w:t>
      </w:r>
    </w:p>
    <w:p w14:paraId="309C53F9" w14:textId="77777777" w:rsidR="007470C9" w:rsidRDefault="007470C9" w:rsidP="00412647">
      <w:pPr>
        <w:spacing w:after="0"/>
        <w:rPr>
          <w:lang w:val="en-GB"/>
        </w:rPr>
        <w:sectPr w:rsidR="007470C9" w:rsidSect="00BD75B0">
          <w:footnotePr>
            <w:numStart w:val="4"/>
          </w:footnotePr>
          <w:pgSz w:w="11906" w:h="16838"/>
          <w:pgMar w:top="1417" w:right="1417" w:bottom="1134" w:left="1417" w:header="708" w:footer="708" w:gutter="0"/>
          <w:cols w:space="708"/>
          <w:docGrid w:linePitch="360"/>
        </w:sectPr>
      </w:pPr>
    </w:p>
    <w:p w14:paraId="586C30F2" w14:textId="2952FAA7" w:rsidR="009132B3" w:rsidRDefault="007C5909" w:rsidP="009132B3">
      <w:pPr>
        <w:pBdr>
          <w:top w:val="single" w:sz="4" w:space="1" w:color="auto"/>
          <w:left w:val="single" w:sz="4" w:space="4" w:color="auto"/>
          <w:bottom w:val="single" w:sz="4" w:space="1" w:color="auto"/>
          <w:right w:val="single" w:sz="4" w:space="4" w:color="auto"/>
        </w:pBdr>
        <w:spacing w:after="0"/>
        <w:ind w:left="1410" w:hanging="1410"/>
        <w:rPr>
          <w:lang w:val="en-GB"/>
        </w:rPr>
      </w:pPr>
      <w:r>
        <w:rPr>
          <w:lang w:val="en-GB"/>
        </w:rPr>
        <w:lastRenderedPageBreak/>
        <w:t>Text Box 3</w:t>
      </w:r>
      <w:r w:rsidR="009132B3">
        <w:rPr>
          <w:lang w:val="en-GB"/>
        </w:rPr>
        <w:t xml:space="preserve">: </w:t>
      </w:r>
      <w:r w:rsidR="009132B3">
        <w:rPr>
          <w:lang w:val="en-GB"/>
        </w:rPr>
        <w:tab/>
        <w:t>Uncertainty in the comparison of emissions mitigation costs between electric and after-treatment systems in conventional cars</w:t>
      </w:r>
    </w:p>
    <w:p w14:paraId="499E9180" w14:textId="77777777" w:rsidR="009132B3" w:rsidRDefault="009132B3" w:rsidP="009132B3">
      <w:pPr>
        <w:pBdr>
          <w:top w:val="single" w:sz="4" w:space="1" w:color="auto"/>
          <w:left w:val="single" w:sz="4" w:space="4" w:color="auto"/>
          <w:bottom w:val="single" w:sz="4" w:space="1" w:color="auto"/>
          <w:right w:val="single" w:sz="4" w:space="4" w:color="auto"/>
        </w:pBdr>
        <w:spacing w:after="0"/>
        <w:rPr>
          <w:szCs w:val="24"/>
          <w:lang w:val="en-GB"/>
        </w:rPr>
      </w:pPr>
    </w:p>
    <w:p w14:paraId="6340B051" w14:textId="77777777" w:rsidR="009132B3" w:rsidRPr="00C868B7" w:rsidRDefault="009132B3" w:rsidP="009132B3">
      <w:pPr>
        <w:pBdr>
          <w:top w:val="single" w:sz="4" w:space="1" w:color="auto"/>
          <w:left w:val="single" w:sz="4" w:space="4" w:color="auto"/>
          <w:bottom w:val="single" w:sz="4" w:space="1" w:color="auto"/>
          <w:right w:val="single" w:sz="4" w:space="4" w:color="auto"/>
        </w:pBdr>
        <w:spacing w:after="0"/>
        <w:rPr>
          <w:lang w:val="en-US"/>
        </w:rPr>
      </w:pPr>
      <w:r>
        <w:rPr>
          <w:szCs w:val="24"/>
          <w:lang w:val="en-GB"/>
        </w:rPr>
        <w:t xml:space="preserve">1. </w:t>
      </w:r>
      <w:r w:rsidRPr="00C868B7">
        <w:rPr>
          <w:szCs w:val="24"/>
          <w:lang w:val="en-US"/>
        </w:rPr>
        <w:t>Figures S1 and S2 assume that after-treatment technologies decrease engine-out NO</w:t>
      </w:r>
      <w:r w:rsidRPr="00C868B7">
        <w:rPr>
          <w:szCs w:val="24"/>
          <w:vertAlign w:val="subscript"/>
          <w:lang w:val="en-US"/>
        </w:rPr>
        <w:t>X</w:t>
      </w:r>
      <w:r w:rsidRPr="00C868B7">
        <w:rPr>
          <w:szCs w:val="24"/>
          <w:lang w:val="en-US"/>
        </w:rPr>
        <w:t xml:space="preserve"> and particle number emissions to emission levels as they occur during normal vehicle use (see Zerfass, 2017) up to a vehicle age of 5 years or a mileage of 160,000 km as it is prescribed by regulatory durability requirements (EC, 2007). If </w:t>
      </w:r>
      <w:r w:rsidRPr="00C868B7">
        <w:rPr>
          <w:lang w:val="en-US"/>
        </w:rPr>
        <w:t>after-treatment systems degrade (normally without being noticed by the vehicle user) within and after this period, the actual costs for mitigating tailpipe emissions through exhaust after-treatment might be substantially higher than suggested in Figures 8 and 9.</w:t>
      </w:r>
    </w:p>
    <w:p w14:paraId="43B904F1" w14:textId="77777777" w:rsidR="009132B3" w:rsidRDefault="009132B3" w:rsidP="009132B3">
      <w:pPr>
        <w:pBdr>
          <w:top w:val="single" w:sz="4" w:space="1" w:color="auto"/>
          <w:left w:val="single" w:sz="4" w:space="4" w:color="auto"/>
          <w:bottom w:val="single" w:sz="4" w:space="1" w:color="auto"/>
          <w:right w:val="single" w:sz="4" w:space="4" w:color="auto"/>
        </w:pBdr>
        <w:spacing w:after="0"/>
        <w:rPr>
          <w:lang w:val="en-US"/>
        </w:rPr>
      </w:pPr>
    </w:p>
    <w:p w14:paraId="2BFF7282" w14:textId="77777777" w:rsidR="009132B3" w:rsidRPr="00C868B7" w:rsidRDefault="009132B3" w:rsidP="009132B3">
      <w:pPr>
        <w:pBdr>
          <w:top w:val="single" w:sz="4" w:space="1" w:color="auto"/>
          <w:left w:val="single" w:sz="4" w:space="4" w:color="auto"/>
          <w:bottom w:val="single" w:sz="4" w:space="1" w:color="auto"/>
          <w:right w:val="single" w:sz="4" w:space="4" w:color="auto"/>
        </w:pBdr>
        <w:spacing w:after="0"/>
        <w:rPr>
          <w:lang w:val="en-US"/>
        </w:rPr>
      </w:pPr>
      <w:r>
        <w:rPr>
          <w:lang w:val="en-US"/>
        </w:rPr>
        <w:t xml:space="preserve">2. </w:t>
      </w:r>
      <w:r w:rsidRPr="00C868B7">
        <w:rPr>
          <w:lang w:val="en-US"/>
        </w:rPr>
        <w:t>Figures S1 and S2 do</w:t>
      </w:r>
      <w:r w:rsidRPr="00C868B7">
        <w:rPr>
          <w:szCs w:val="24"/>
          <w:lang w:val="en-US"/>
        </w:rPr>
        <w:t xml:space="preserve"> not account for exposure to NO</w:t>
      </w:r>
      <w:r w:rsidRPr="00C868B7">
        <w:rPr>
          <w:szCs w:val="24"/>
          <w:vertAlign w:val="subscript"/>
          <w:lang w:val="en-US"/>
        </w:rPr>
        <w:t>X</w:t>
      </w:r>
      <w:r w:rsidRPr="00C868B7">
        <w:rPr>
          <w:szCs w:val="24"/>
          <w:lang w:val="en-US"/>
        </w:rPr>
        <w:t xml:space="preserve"> and particles. The proximity of vehicle use to high population density in cities implies that citizens are more likely exposed to vehicle emissions than to emissions from the energy and manufacturing sector; considering actual exposure when benchmarking the costs for emissions mitigation will improve the cost performance of technologies that mitigate the emissions of road vehicles as compared to those that mitigate the emissions of the energy and manufacturing sector. </w:t>
      </w:r>
    </w:p>
    <w:p w14:paraId="01D8C0B8" w14:textId="77777777" w:rsidR="009132B3" w:rsidRDefault="009132B3" w:rsidP="009132B3">
      <w:pPr>
        <w:pBdr>
          <w:top w:val="single" w:sz="4" w:space="1" w:color="auto"/>
          <w:left w:val="single" w:sz="4" w:space="4" w:color="auto"/>
          <w:bottom w:val="single" w:sz="4" w:space="1" w:color="auto"/>
          <w:right w:val="single" w:sz="4" w:space="4" w:color="auto"/>
        </w:pBdr>
        <w:spacing w:after="0"/>
        <w:rPr>
          <w:lang w:val="en-US"/>
        </w:rPr>
      </w:pPr>
    </w:p>
    <w:p w14:paraId="7365FE00" w14:textId="77777777" w:rsidR="009132B3" w:rsidRPr="00C868B7" w:rsidRDefault="009132B3" w:rsidP="009132B3">
      <w:pPr>
        <w:pBdr>
          <w:top w:val="single" w:sz="4" w:space="1" w:color="auto"/>
          <w:left w:val="single" w:sz="4" w:space="4" w:color="auto"/>
          <w:bottom w:val="single" w:sz="4" w:space="1" w:color="auto"/>
          <w:right w:val="single" w:sz="4" w:space="4" w:color="auto"/>
        </w:pBdr>
        <w:spacing w:after="0"/>
        <w:rPr>
          <w:lang w:val="en-US"/>
        </w:rPr>
      </w:pPr>
      <w:r>
        <w:rPr>
          <w:lang w:val="en-US"/>
        </w:rPr>
        <w:t xml:space="preserve">3. </w:t>
      </w:r>
      <w:r w:rsidRPr="00C868B7">
        <w:rPr>
          <w:lang w:val="en-US"/>
        </w:rPr>
        <w:t>The estimates in Figure 6 (main text) depict the costs of decreasing NO</w:t>
      </w:r>
      <w:r w:rsidRPr="00C868B7">
        <w:rPr>
          <w:vertAlign w:val="subscript"/>
          <w:lang w:val="en-US"/>
        </w:rPr>
        <w:t>X</w:t>
      </w:r>
      <w:r w:rsidRPr="00C868B7">
        <w:rPr>
          <w:lang w:val="en-US"/>
        </w:rPr>
        <w:t xml:space="preserve"> and PN emissions through electric cars and plug-in hybrids </w:t>
      </w:r>
      <w:r w:rsidRPr="00C868B7">
        <w:rPr>
          <w:i/>
          <w:lang w:val="en-US"/>
        </w:rPr>
        <w:t>beyond</w:t>
      </w:r>
      <w:r w:rsidRPr="00C868B7">
        <w:rPr>
          <w:lang w:val="en-US"/>
        </w:rPr>
        <w:t xml:space="preserve"> the current emission levels of conventional cars; by contrast, the cost estimates in Figures 7 and 8 for after-treatment technologies depict the costs of decreasing emissions from engine-out levels </w:t>
      </w:r>
      <w:r w:rsidRPr="00C868B7">
        <w:rPr>
          <w:i/>
          <w:lang w:val="en-US"/>
        </w:rPr>
        <w:t>to</w:t>
      </w:r>
      <w:r w:rsidRPr="00C868B7">
        <w:rPr>
          <w:lang w:val="en-US"/>
        </w:rPr>
        <w:t xml:space="preserve"> the current emission levels of conventional cars. The costs estimates for electric cars and plug-in hybrids therefore represent </w:t>
      </w:r>
      <w:r w:rsidRPr="00C868B7">
        <w:rPr>
          <w:i/>
          <w:lang w:val="en-US"/>
        </w:rPr>
        <w:t>marginal</w:t>
      </w:r>
      <w:r w:rsidRPr="00C868B7">
        <w:rPr>
          <w:lang w:val="en-US"/>
        </w:rPr>
        <w:t xml:space="preserve"> costs; the cost estimates for after-treatment systems represent </w:t>
      </w:r>
      <w:r w:rsidRPr="00C868B7">
        <w:rPr>
          <w:i/>
          <w:lang w:val="en-US"/>
        </w:rPr>
        <w:t>average</w:t>
      </w:r>
      <w:r w:rsidRPr="00C868B7">
        <w:rPr>
          <w:lang w:val="en-US"/>
        </w:rPr>
        <w:t xml:space="preserve"> costs – the latter could increase if tailpipe emissions are to be decreased in the future to more stringent emission limits. </w:t>
      </w:r>
    </w:p>
    <w:p w14:paraId="2ACE37D2" w14:textId="77777777" w:rsidR="009132B3" w:rsidRPr="00C868B7" w:rsidRDefault="009132B3" w:rsidP="009132B3">
      <w:pPr>
        <w:spacing w:after="0"/>
        <w:rPr>
          <w:lang w:val="en-US"/>
        </w:rPr>
      </w:pPr>
    </w:p>
    <w:p w14:paraId="67B1524B" w14:textId="77777777" w:rsidR="00CE1D16" w:rsidRDefault="00CE1D16" w:rsidP="007470C9">
      <w:pPr>
        <w:spacing w:after="0"/>
        <w:ind w:left="1410" w:hanging="1410"/>
        <w:rPr>
          <w:lang w:val="en-US"/>
        </w:rPr>
        <w:sectPr w:rsidR="00CE1D16" w:rsidSect="00BD75B0">
          <w:footnotePr>
            <w:numStart w:val="4"/>
          </w:footnotePr>
          <w:pgSz w:w="11906" w:h="16838"/>
          <w:pgMar w:top="1417" w:right="1417" w:bottom="1134" w:left="1417" w:header="708" w:footer="708" w:gutter="0"/>
          <w:cols w:space="708"/>
          <w:docGrid w:linePitch="360"/>
        </w:sectPr>
      </w:pPr>
    </w:p>
    <w:p w14:paraId="727ECBFD" w14:textId="42D66DF7" w:rsidR="00CE1D16" w:rsidRDefault="007C5909" w:rsidP="00130FDB">
      <w:pPr>
        <w:pBdr>
          <w:top w:val="single" w:sz="4" w:space="1" w:color="auto"/>
          <w:left w:val="single" w:sz="4" w:space="4" w:color="auto"/>
          <w:bottom w:val="single" w:sz="4" w:space="1" w:color="auto"/>
          <w:right w:val="single" w:sz="4" w:space="4" w:color="auto"/>
        </w:pBdr>
        <w:spacing w:after="0"/>
        <w:rPr>
          <w:lang w:val="en-US"/>
        </w:rPr>
      </w:pPr>
      <w:r>
        <w:rPr>
          <w:lang w:val="en-US"/>
        </w:rPr>
        <w:lastRenderedPageBreak/>
        <w:t>Text Box 4</w:t>
      </w:r>
      <w:r w:rsidR="00CE1D16">
        <w:rPr>
          <w:lang w:val="en-US"/>
        </w:rPr>
        <w:t xml:space="preserve">: </w:t>
      </w:r>
      <w:r w:rsidR="00CE1D16">
        <w:rPr>
          <w:lang w:val="en-US"/>
        </w:rPr>
        <w:tab/>
        <w:t>Uncertainty related to on-road NO</w:t>
      </w:r>
      <w:r w:rsidR="00CE1D16" w:rsidRPr="00CE1D16">
        <w:rPr>
          <w:vertAlign w:val="subscript"/>
          <w:lang w:val="en-US"/>
        </w:rPr>
        <w:t>X</w:t>
      </w:r>
      <w:r w:rsidR="00CE1D16">
        <w:rPr>
          <w:lang w:val="en-US"/>
        </w:rPr>
        <w:t xml:space="preserve"> and PN emission factors</w:t>
      </w:r>
    </w:p>
    <w:p w14:paraId="02A444AE" w14:textId="77777777" w:rsidR="00CE1D16" w:rsidRDefault="00CE1D16" w:rsidP="00130FDB">
      <w:pPr>
        <w:pBdr>
          <w:top w:val="single" w:sz="4" w:space="1" w:color="auto"/>
          <w:left w:val="single" w:sz="4" w:space="4" w:color="auto"/>
          <w:bottom w:val="single" w:sz="4" w:space="1" w:color="auto"/>
          <w:right w:val="single" w:sz="4" w:space="4" w:color="auto"/>
        </w:pBdr>
        <w:spacing w:after="0"/>
        <w:rPr>
          <w:lang w:val="en-US"/>
        </w:rPr>
      </w:pPr>
    </w:p>
    <w:p w14:paraId="18AEF133" w14:textId="4965C430" w:rsidR="00CE1D16" w:rsidRDefault="00CE1D16" w:rsidP="00130FDB">
      <w:pPr>
        <w:pBdr>
          <w:top w:val="single" w:sz="4" w:space="1" w:color="auto"/>
          <w:left w:val="single" w:sz="4" w:space="4" w:color="auto"/>
          <w:bottom w:val="single" w:sz="4" w:space="1" w:color="auto"/>
          <w:right w:val="single" w:sz="4" w:space="4" w:color="auto"/>
        </w:pBdr>
        <w:spacing w:after="0"/>
        <w:rPr>
          <w:lang w:val="en-US"/>
        </w:rPr>
      </w:pPr>
      <w:r>
        <w:rPr>
          <w:lang w:val="en-US"/>
        </w:rPr>
        <w:t>On-road measurements of NO</w:t>
      </w:r>
      <w:r w:rsidRPr="00096E9E">
        <w:rPr>
          <w:vertAlign w:val="subscript"/>
          <w:lang w:val="en-US"/>
        </w:rPr>
        <w:t>X</w:t>
      </w:r>
      <w:r>
        <w:rPr>
          <w:lang w:val="en-US"/>
        </w:rPr>
        <w:t xml:space="preserve"> </w:t>
      </w:r>
      <w:r w:rsidR="00130FDB">
        <w:rPr>
          <w:lang w:val="en-US"/>
        </w:rPr>
        <w:t xml:space="preserve"> </w:t>
      </w:r>
      <w:r>
        <w:rPr>
          <w:lang w:val="en-US"/>
        </w:rPr>
        <w:t xml:space="preserve">emissions from plug-in hybrid cars are still scarce; the same applies to the measurement of particle number emissions from both diesel and gasoline cars. Hammer et al. (2015) suggests slightly higher particle number emissions for diesel plug-in hybrids than for conventional diesel cars. If one considers that plug-in hybrid cars can be driven at least temporarily by an electric motor and thus without tailpipe emissions, there is </w:t>
      </w:r>
      <w:r w:rsidRPr="00777593">
        <w:rPr>
          <w:i/>
          <w:lang w:val="en-US"/>
        </w:rPr>
        <w:t>a priori</w:t>
      </w:r>
      <w:r>
        <w:rPr>
          <w:lang w:val="en-US"/>
        </w:rPr>
        <w:t xml:space="preserve"> no reason to assume higher particle number emissions for Euro 6 plug-in hybrids than for conventional diesel cars. However, reality is more complex. Vehicle manufacturers face cost constraints, which could lead to the installation of smaller catalysts and particulate filters or a decreased dosing of urea solution in plug-in hybrids and in turn to overall elevated NO</w:t>
      </w:r>
      <w:r w:rsidRPr="0035729C">
        <w:rPr>
          <w:vertAlign w:val="subscript"/>
          <w:lang w:val="en-US"/>
        </w:rPr>
        <w:t>X</w:t>
      </w:r>
      <w:r>
        <w:rPr>
          <w:lang w:val="en-US"/>
        </w:rPr>
        <w:t xml:space="preserve"> and particle emissions. Such considerations may justify the NO</w:t>
      </w:r>
      <w:r w:rsidRPr="0035729C">
        <w:rPr>
          <w:vertAlign w:val="subscript"/>
          <w:lang w:val="en-US"/>
        </w:rPr>
        <w:t>X</w:t>
      </w:r>
      <w:r>
        <w:rPr>
          <w:lang w:val="en-US"/>
        </w:rPr>
        <w:t xml:space="preserve"> and particle number emission factors chosen here but also ask to substantiate these by further research. Probabilistic modeling could accommodate a range of likely emission factors and operating conditions, specifically those relevant for urban driving.</w:t>
      </w:r>
    </w:p>
    <w:p w14:paraId="18482F89" w14:textId="361F23ED" w:rsidR="00C868B7" w:rsidRPr="00C868B7" w:rsidRDefault="00C868B7" w:rsidP="00155464">
      <w:pPr>
        <w:spacing w:after="0"/>
        <w:rPr>
          <w:lang w:val="en-US"/>
        </w:rPr>
      </w:pPr>
    </w:p>
    <w:sectPr w:rsidR="00C868B7" w:rsidRPr="00C868B7" w:rsidSect="00BD75B0">
      <w:footnotePr>
        <w:numStart w:val="4"/>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9549" w14:textId="77777777" w:rsidR="008C603E" w:rsidRDefault="008C603E" w:rsidP="00245864">
      <w:pPr>
        <w:spacing w:after="0" w:line="240" w:lineRule="auto"/>
      </w:pPr>
      <w:r>
        <w:separator/>
      </w:r>
    </w:p>
  </w:endnote>
  <w:endnote w:type="continuationSeparator" w:id="0">
    <w:p w14:paraId="4BAC3433" w14:textId="77777777" w:rsidR="008C603E" w:rsidRDefault="008C603E" w:rsidP="0024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629228"/>
      <w:docPartObj>
        <w:docPartGallery w:val="Page Numbers (Bottom of Page)"/>
        <w:docPartUnique/>
      </w:docPartObj>
    </w:sdtPr>
    <w:sdtEndPr/>
    <w:sdtContent>
      <w:p w14:paraId="2F50E4C8" w14:textId="0CA4C82B" w:rsidR="000158C5" w:rsidRDefault="000158C5">
        <w:pPr>
          <w:pStyle w:val="Fuzeile"/>
          <w:jc w:val="right"/>
        </w:pPr>
        <w:r>
          <w:fldChar w:fldCharType="begin"/>
        </w:r>
        <w:r>
          <w:instrText>PAGE   \* MERGEFORMAT</w:instrText>
        </w:r>
        <w:r>
          <w:fldChar w:fldCharType="separate"/>
        </w:r>
        <w:r w:rsidR="00F751EC">
          <w:rPr>
            <w:noProof/>
          </w:rPr>
          <w:t>6</w:t>
        </w:r>
        <w:r>
          <w:fldChar w:fldCharType="end"/>
        </w:r>
      </w:p>
    </w:sdtContent>
  </w:sdt>
  <w:p w14:paraId="4D659B2E" w14:textId="77777777" w:rsidR="000158C5" w:rsidRDefault="000158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1182" w14:textId="77777777" w:rsidR="008C603E" w:rsidRDefault="008C603E" w:rsidP="00245864">
      <w:pPr>
        <w:spacing w:after="0" w:line="240" w:lineRule="auto"/>
      </w:pPr>
      <w:r>
        <w:separator/>
      </w:r>
    </w:p>
  </w:footnote>
  <w:footnote w:type="continuationSeparator" w:id="0">
    <w:p w14:paraId="2CD3548B" w14:textId="77777777" w:rsidR="008C603E" w:rsidRDefault="008C603E" w:rsidP="00245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B61"/>
    <w:multiLevelType w:val="hybridMultilevel"/>
    <w:tmpl w:val="3D8EC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77E4A"/>
    <w:multiLevelType w:val="hybridMultilevel"/>
    <w:tmpl w:val="7C124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C2E63"/>
    <w:multiLevelType w:val="multilevel"/>
    <w:tmpl w:val="A5E4B10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D8713AF"/>
    <w:multiLevelType w:val="hybridMultilevel"/>
    <w:tmpl w:val="FB3274D4"/>
    <w:lvl w:ilvl="0" w:tplc="818AFD74">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6D84"/>
    <w:multiLevelType w:val="hybridMultilevel"/>
    <w:tmpl w:val="46569CD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0FFF6881"/>
    <w:multiLevelType w:val="hybridMultilevel"/>
    <w:tmpl w:val="C62410F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1EDA49C4"/>
    <w:multiLevelType w:val="hybridMultilevel"/>
    <w:tmpl w:val="57F82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7F5755"/>
    <w:multiLevelType w:val="hybridMultilevel"/>
    <w:tmpl w:val="D71859A2"/>
    <w:lvl w:ilvl="0" w:tplc="EC36857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9E23DF"/>
    <w:multiLevelType w:val="hybridMultilevel"/>
    <w:tmpl w:val="D6C60B12"/>
    <w:lvl w:ilvl="0" w:tplc="D6CE14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D136C5"/>
    <w:multiLevelType w:val="hybridMultilevel"/>
    <w:tmpl w:val="E6DE5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412075"/>
    <w:multiLevelType w:val="hybridMultilevel"/>
    <w:tmpl w:val="B718C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9A0AEA"/>
    <w:multiLevelType w:val="hybridMultilevel"/>
    <w:tmpl w:val="EECCA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781569"/>
    <w:multiLevelType w:val="hybridMultilevel"/>
    <w:tmpl w:val="3C4A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C1DF2"/>
    <w:multiLevelType w:val="hybridMultilevel"/>
    <w:tmpl w:val="FC84F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DF2260"/>
    <w:multiLevelType w:val="hybridMultilevel"/>
    <w:tmpl w:val="05E8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8B6E93"/>
    <w:multiLevelType w:val="hybridMultilevel"/>
    <w:tmpl w:val="1038A36C"/>
    <w:lvl w:ilvl="0" w:tplc="98FA372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0249C"/>
    <w:multiLevelType w:val="multilevel"/>
    <w:tmpl w:val="64FEC938"/>
    <w:lvl w:ilvl="0">
      <w:start w:val="1"/>
      <w:numFmt w:val="bullet"/>
      <w:lvlText w:val=""/>
      <w:lvlJc w:val="left"/>
      <w:pPr>
        <w:ind w:left="432" w:hanging="432"/>
      </w:pPr>
      <w:rPr>
        <w:rFonts w:ascii="Symbol" w:hAnsi="Symbol" w:cs="Symbol" w:hint="default"/>
      </w:rPr>
    </w:lvl>
    <w:lvl w:ilvl="1">
      <w:start w:val="1"/>
      <w:numFmt w:val="bullet"/>
      <w:lvlText w:val=""/>
      <w:lvlJc w:val="left"/>
      <w:pPr>
        <w:ind w:left="576" w:hanging="576"/>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35F0253"/>
    <w:multiLevelType w:val="multilevel"/>
    <w:tmpl w:val="CDC8E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C2356EB"/>
    <w:multiLevelType w:val="multilevel"/>
    <w:tmpl w:val="821026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C3C0791"/>
    <w:multiLevelType w:val="hybridMultilevel"/>
    <w:tmpl w:val="1FCE6EA4"/>
    <w:lvl w:ilvl="0" w:tplc="DD443D96">
      <w:numFmt w:val="bullet"/>
      <w:lvlText w:val="&gt;"/>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5556A"/>
    <w:multiLevelType w:val="hybridMultilevel"/>
    <w:tmpl w:val="24B6B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C609F7"/>
    <w:multiLevelType w:val="hybridMultilevel"/>
    <w:tmpl w:val="E1144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9C2080"/>
    <w:multiLevelType w:val="hybridMultilevel"/>
    <w:tmpl w:val="240C6896"/>
    <w:lvl w:ilvl="0" w:tplc="A0B241F0">
      <w:start w:val="1"/>
      <w:numFmt w:val="lowerRoman"/>
      <w:lvlText w:val="(%1)"/>
      <w:lvlJc w:val="left"/>
      <w:pPr>
        <w:ind w:left="1758" w:hanging="10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EAE1E23"/>
    <w:multiLevelType w:val="multilevel"/>
    <w:tmpl w:val="C972CF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22"/>
  </w:num>
  <w:num w:numId="3">
    <w:abstractNumId w:val="11"/>
  </w:num>
  <w:num w:numId="4">
    <w:abstractNumId w:val="2"/>
  </w:num>
  <w:num w:numId="5">
    <w:abstractNumId w:val="23"/>
  </w:num>
  <w:num w:numId="6">
    <w:abstractNumId w:val="17"/>
  </w:num>
  <w:num w:numId="7">
    <w:abstractNumId w:val="18"/>
  </w:num>
  <w:num w:numId="8">
    <w:abstractNumId w:val="16"/>
  </w:num>
  <w:num w:numId="9">
    <w:abstractNumId w:val="3"/>
  </w:num>
  <w:num w:numId="10">
    <w:abstractNumId w:val="20"/>
  </w:num>
  <w:num w:numId="11">
    <w:abstractNumId w:val="15"/>
  </w:num>
  <w:num w:numId="12">
    <w:abstractNumId w:val="19"/>
  </w:num>
  <w:num w:numId="13">
    <w:abstractNumId w:val="0"/>
  </w:num>
  <w:num w:numId="14">
    <w:abstractNumId w:val="8"/>
  </w:num>
  <w:num w:numId="15">
    <w:abstractNumId w:val="6"/>
  </w:num>
  <w:num w:numId="16">
    <w:abstractNumId w:val="7"/>
  </w:num>
  <w:num w:numId="17">
    <w:abstractNumId w:val="1"/>
  </w:num>
  <w:num w:numId="18">
    <w:abstractNumId w:val="5"/>
  </w:num>
  <w:num w:numId="19">
    <w:abstractNumId w:val="13"/>
  </w:num>
  <w:num w:numId="20">
    <w:abstractNumId w:val="9"/>
  </w:num>
  <w:num w:numId="21">
    <w:abstractNumId w:val="4"/>
  </w:num>
  <w:num w:numId="22">
    <w:abstractNumId w:val="12"/>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53"/>
    <w:rsid w:val="00000857"/>
    <w:rsid w:val="000010F1"/>
    <w:rsid w:val="00003B15"/>
    <w:rsid w:val="000046C4"/>
    <w:rsid w:val="000067D8"/>
    <w:rsid w:val="00006E4D"/>
    <w:rsid w:val="00006F46"/>
    <w:rsid w:val="0001029A"/>
    <w:rsid w:val="0001100F"/>
    <w:rsid w:val="00011871"/>
    <w:rsid w:val="00011908"/>
    <w:rsid w:val="000134A7"/>
    <w:rsid w:val="000158C5"/>
    <w:rsid w:val="00015AFB"/>
    <w:rsid w:val="00016C06"/>
    <w:rsid w:val="00017C8B"/>
    <w:rsid w:val="00020DA0"/>
    <w:rsid w:val="00020E8B"/>
    <w:rsid w:val="00023186"/>
    <w:rsid w:val="000247DA"/>
    <w:rsid w:val="0002655C"/>
    <w:rsid w:val="000271AB"/>
    <w:rsid w:val="000312B8"/>
    <w:rsid w:val="00031567"/>
    <w:rsid w:val="0003183B"/>
    <w:rsid w:val="00036031"/>
    <w:rsid w:val="00040DF1"/>
    <w:rsid w:val="00041AB4"/>
    <w:rsid w:val="000423CF"/>
    <w:rsid w:val="00042402"/>
    <w:rsid w:val="00042C5D"/>
    <w:rsid w:val="00043F54"/>
    <w:rsid w:val="00044177"/>
    <w:rsid w:val="00044949"/>
    <w:rsid w:val="00045228"/>
    <w:rsid w:val="000457C4"/>
    <w:rsid w:val="00045BA1"/>
    <w:rsid w:val="00047478"/>
    <w:rsid w:val="000500BA"/>
    <w:rsid w:val="00050C82"/>
    <w:rsid w:val="00051510"/>
    <w:rsid w:val="0005169E"/>
    <w:rsid w:val="00052710"/>
    <w:rsid w:val="000530A2"/>
    <w:rsid w:val="00053381"/>
    <w:rsid w:val="00053C8F"/>
    <w:rsid w:val="00054B29"/>
    <w:rsid w:val="00055817"/>
    <w:rsid w:val="00057D13"/>
    <w:rsid w:val="00060607"/>
    <w:rsid w:val="0006137D"/>
    <w:rsid w:val="000622E1"/>
    <w:rsid w:val="00062601"/>
    <w:rsid w:val="00062D8F"/>
    <w:rsid w:val="00064A24"/>
    <w:rsid w:val="00065316"/>
    <w:rsid w:val="0006548C"/>
    <w:rsid w:val="0006668F"/>
    <w:rsid w:val="00070AE0"/>
    <w:rsid w:val="000717A4"/>
    <w:rsid w:val="000732EA"/>
    <w:rsid w:val="00074942"/>
    <w:rsid w:val="00075DA0"/>
    <w:rsid w:val="0007630C"/>
    <w:rsid w:val="000767C0"/>
    <w:rsid w:val="0007690C"/>
    <w:rsid w:val="00076CA0"/>
    <w:rsid w:val="000770F0"/>
    <w:rsid w:val="00077888"/>
    <w:rsid w:val="00080CCC"/>
    <w:rsid w:val="0008114A"/>
    <w:rsid w:val="00081497"/>
    <w:rsid w:val="00081D3D"/>
    <w:rsid w:val="0008221B"/>
    <w:rsid w:val="00084445"/>
    <w:rsid w:val="00084EF0"/>
    <w:rsid w:val="00085C22"/>
    <w:rsid w:val="00087247"/>
    <w:rsid w:val="00087284"/>
    <w:rsid w:val="00090995"/>
    <w:rsid w:val="00091055"/>
    <w:rsid w:val="000923D3"/>
    <w:rsid w:val="00092B4A"/>
    <w:rsid w:val="0009460C"/>
    <w:rsid w:val="0009468B"/>
    <w:rsid w:val="000956CD"/>
    <w:rsid w:val="00095EF6"/>
    <w:rsid w:val="000964F2"/>
    <w:rsid w:val="00096C6A"/>
    <w:rsid w:val="00096E9E"/>
    <w:rsid w:val="00097461"/>
    <w:rsid w:val="00097EBE"/>
    <w:rsid w:val="000A0624"/>
    <w:rsid w:val="000A224E"/>
    <w:rsid w:val="000A2751"/>
    <w:rsid w:val="000A299C"/>
    <w:rsid w:val="000A3AAE"/>
    <w:rsid w:val="000A4D72"/>
    <w:rsid w:val="000A584B"/>
    <w:rsid w:val="000A5E66"/>
    <w:rsid w:val="000A600C"/>
    <w:rsid w:val="000A7073"/>
    <w:rsid w:val="000B000A"/>
    <w:rsid w:val="000B1D21"/>
    <w:rsid w:val="000B2CBB"/>
    <w:rsid w:val="000B2DB6"/>
    <w:rsid w:val="000B31D0"/>
    <w:rsid w:val="000B5321"/>
    <w:rsid w:val="000B597B"/>
    <w:rsid w:val="000B7296"/>
    <w:rsid w:val="000B7C4B"/>
    <w:rsid w:val="000C0A80"/>
    <w:rsid w:val="000C162D"/>
    <w:rsid w:val="000C1CB0"/>
    <w:rsid w:val="000C3275"/>
    <w:rsid w:val="000C353F"/>
    <w:rsid w:val="000C3B9B"/>
    <w:rsid w:val="000C3CF7"/>
    <w:rsid w:val="000C4DB1"/>
    <w:rsid w:val="000C511C"/>
    <w:rsid w:val="000C5690"/>
    <w:rsid w:val="000C57E4"/>
    <w:rsid w:val="000C6ADA"/>
    <w:rsid w:val="000C727C"/>
    <w:rsid w:val="000C74CD"/>
    <w:rsid w:val="000C790A"/>
    <w:rsid w:val="000D04C6"/>
    <w:rsid w:val="000D1527"/>
    <w:rsid w:val="000D174D"/>
    <w:rsid w:val="000D30B1"/>
    <w:rsid w:val="000D41EC"/>
    <w:rsid w:val="000D437C"/>
    <w:rsid w:val="000D5624"/>
    <w:rsid w:val="000D7A83"/>
    <w:rsid w:val="000E0E37"/>
    <w:rsid w:val="000E4181"/>
    <w:rsid w:val="000E41DA"/>
    <w:rsid w:val="000E4FE1"/>
    <w:rsid w:val="000E625A"/>
    <w:rsid w:val="000E67C1"/>
    <w:rsid w:val="000E7447"/>
    <w:rsid w:val="000E7D04"/>
    <w:rsid w:val="000F0AD7"/>
    <w:rsid w:val="000F14B3"/>
    <w:rsid w:val="000F3A61"/>
    <w:rsid w:val="000F3FD1"/>
    <w:rsid w:val="000F5135"/>
    <w:rsid w:val="000F5F5F"/>
    <w:rsid w:val="000F602A"/>
    <w:rsid w:val="000F6E65"/>
    <w:rsid w:val="001004AC"/>
    <w:rsid w:val="00100D41"/>
    <w:rsid w:val="00100E98"/>
    <w:rsid w:val="001015B6"/>
    <w:rsid w:val="00101639"/>
    <w:rsid w:val="00103482"/>
    <w:rsid w:val="00106443"/>
    <w:rsid w:val="00106A20"/>
    <w:rsid w:val="00110384"/>
    <w:rsid w:val="00112B7F"/>
    <w:rsid w:val="00113E64"/>
    <w:rsid w:val="00113FC4"/>
    <w:rsid w:val="001140FC"/>
    <w:rsid w:val="001148F9"/>
    <w:rsid w:val="00115CC6"/>
    <w:rsid w:val="00115E15"/>
    <w:rsid w:val="00115F07"/>
    <w:rsid w:val="0011629C"/>
    <w:rsid w:val="00116722"/>
    <w:rsid w:val="00117073"/>
    <w:rsid w:val="0011790D"/>
    <w:rsid w:val="00117A61"/>
    <w:rsid w:val="001215E6"/>
    <w:rsid w:val="00121C27"/>
    <w:rsid w:val="001223E6"/>
    <w:rsid w:val="0012405A"/>
    <w:rsid w:val="00124254"/>
    <w:rsid w:val="00125EC0"/>
    <w:rsid w:val="00126A7C"/>
    <w:rsid w:val="00127A2D"/>
    <w:rsid w:val="00130069"/>
    <w:rsid w:val="00130FDB"/>
    <w:rsid w:val="00132280"/>
    <w:rsid w:val="001330C5"/>
    <w:rsid w:val="0013368F"/>
    <w:rsid w:val="00140D5F"/>
    <w:rsid w:val="0014157B"/>
    <w:rsid w:val="001419DB"/>
    <w:rsid w:val="00141CF8"/>
    <w:rsid w:val="00141E6C"/>
    <w:rsid w:val="00142AFA"/>
    <w:rsid w:val="00142CEF"/>
    <w:rsid w:val="001431F3"/>
    <w:rsid w:val="00144657"/>
    <w:rsid w:val="00144E8E"/>
    <w:rsid w:val="00145E40"/>
    <w:rsid w:val="00146C92"/>
    <w:rsid w:val="00146CB3"/>
    <w:rsid w:val="00147FA5"/>
    <w:rsid w:val="00152B32"/>
    <w:rsid w:val="001532D2"/>
    <w:rsid w:val="00154710"/>
    <w:rsid w:val="00155464"/>
    <w:rsid w:val="001558C7"/>
    <w:rsid w:val="00155F27"/>
    <w:rsid w:val="00155FEA"/>
    <w:rsid w:val="001562B7"/>
    <w:rsid w:val="00160379"/>
    <w:rsid w:val="00160B98"/>
    <w:rsid w:val="00160D22"/>
    <w:rsid w:val="00161302"/>
    <w:rsid w:val="001614F0"/>
    <w:rsid w:val="00161722"/>
    <w:rsid w:val="00162864"/>
    <w:rsid w:val="001635DF"/>
    <w:rsid w:val="00165CD1"/>
    <w:rsid w:val="00166979"/>
    <w:rsid w:val="00166C79"/>
    <w:rsid w:val="00166F83"/>
    <w:rsid w:val="00170A0C"/>
    <w:rsid w:val="00170CFD"/>
    <w:rsid w:val="00172448"/>
    <w:rsid w:val="001741A7"/>
    <w:rsid w:val="00174723"/>
    <w:rsid w:val="001759C1"/>
    <w:rsid w:val="00175C01"/>
    <w:rsid w:val="00176D67"/>
    <w:rsid w:val="00177E0D"/>
    <w:rsid w:val="001829CD"/>
    <w:rsid w:val="00182DA6"/>
    <w:rsid w:val="0018335A"/>
    <w:rsid w:val="001838FD"/>
    <w:rsid w:val="00183B66"/>
    <w:rsid w:val="00183CE9"/>
    <w:rsid w:val="00184642"/>
    <w:rsid w:val="00187312"/>
    <w:rsid w:val="0019023A"/>
    <w:rsid w:val="0019404E"/>
    <w:rsid w:val="00194738"/>
    <w:rsid w:val="00194BEA"/>
    <w:rsid w:val="001956B8"/>
    <w:rsid w:val="00195D1D"/>
    <w:rsid w:val="00196398"/>
    <w:rsid w:val="00196A07"/>
    <w:rsid w:val="001A1255"/>
    <w:rsid w:val="001A315F"/>
    <w:rsid w:val="001A425D"/>
    <w:rsid w:val="001A56AD"/>
    <w:rsid w:val="001A5FEE"/>
    <w:rsid w:val="001A6C1E"/>
    <w:rsid w:val="001A7DF8"/>
    <w:rsid w:val="001B0C1B"/>
    <w:rsid w:val="001B2088"/>
    <w:rsid w:val="001B23B4"/>
    <w:rsid w:val="001B3CBE"/>
    <w:rsid w:val="001B3DA4"/>
    <w:rsid w:val="001B4F27"/>
    <w:rsid w:val="001B5134"/>
    <w:rsid w:val="001B5EBA"/>
    <w:rsid w:val="001B66E1"/>
    <w:rsid w:val="001B7033"/>
    <w:rsid w:val="001C0A1D"/>
    <w:rsid w:val="001C213B"/>
    <w:rsid w:val="001C365F"/>
    <w:rsid w:val="001C3845"/>
    <w:rsid w:val="001C4220"/>
    <w:rsid w:val="001C558B"/>
    <w:rsid w:val="001C61AF"/>
    <w:rsid w:val="001D1D30"/>
    <w:rsid w:val="001D1E6C"/>
    <w:rsid w:val="001D2C83"/>
    <w:rsid w:val="001D6A40"/>
    <w:rsid w:val="001E0D7D"/>
    <w:rsid w:val="001E132A"/>
    <w:rsid w:val="001E1C65"/>
    <w:rsid w:val="001E2436"/>
    <w:rsid w:val="001E3F90"/>
    <w:rsid w:val="001E444C"/>
    <w:rsid w:val="001E6FD8"/>
    <w:rsid w:val="001E721F"/>
    <w:rsid w:val="001E72DA"/>
    <w:rsid w:val="001E72E3"/>
    <w:rsid w:val="001E742E"/>
    <w:rsid w:val="001E7DB9"/>
    <w:rsid w:val="001F10EC"/>
    <w:rsid w:val="001F2917"/>
    <w:rsid w:val="001F2937"/>
    <w:rsid w:val="001F2BA9"/>
    <w:rsid w:val="001F2F79"/>
    <w:rsid w:val="001F36CC"/>
    <w:rsid w:val="001F436B"/>
    <w:rsid w:val="001F5205"/>
    <w:rsid w:val="001F60A6"/>
    <w:rsid w:val="001F6494"/>
    <w:rsid w:val="001F7EB6"/>
    <w:rsid w:val="001F7F19"/>
    <w:rsid w:val="00201A29"/>
    <w:rsid w:val="00201B5B"/>
    <w:rsid w:val="00201F4C"/>
    <w:rsid w:val="0020583B"/>
    <w:rsid w:val="00205DD2"/>
    <w:rsid w:val="002060F3"/>
    <w:rsid w:val="00206788"/>
    <w:rsid w:val="00206D5F"/>
    <w:rsid w:val="0020753C"/>
    <w:rsid w:val="00210AF3"/>
    <w:rsid w:val="00210B78"/>
    <w:rsid w:val="00211EFC"/>
    <w:rsid w:val="00211FF1"/>
    <w:rsid w:val="00212031"/>
    <w:rsid w:val="00212605"/>
    <w:rsid w:val="0021270C"/>
    <w:rsid w:val="002137D0"/>
    <w:rsid w:val="00214ECA"/>
    <w:rsid w:val="00216F03"/>
    <w:rsid w:val="00217400"/>
    <w:rsid w:val="002212A1"/>
    <w:rsid w:val="00221764"/>
    <w:rsid w:val="00222CFE"/>
    <w:rsid w:val="002230FA"/>
    <w:rsid w:val="00223A6A"/>
    <w:rsid w:val="002242E5"/>
    <w:rsid w:val="0022612E"/>
    <w:rsid w:val="002262C6"/>
    <w:rsid w:val="00226413"/>
    <w:rsid w:val="002275D2"/>
    <w:rsid w:val="00232047"/>
    <w:rsid w:val="00232380"/>
    <w:rsid w:val="0023319F"/>
    <w:rsid w:val="00234561"/>
    <w:rsid w:val="00234750"/>
    <w:rsid w:val="0023624F"/>
    <w:rsid w:val="002365C9"/>
    <w:rsid w:val="002368A1"/>
    <w:rsid w:val="00236988"/>
    <w:rsid w:val="00241A86"/>
    <w:rsid w:val="0024278E"/>
    <w:rsid w:val="002433EE"/>
    <w:rsid w:val="00244043"/>
    <w:rsid w:val="0024434A"/>
    <w:rsid w:val="00245864"/>
    <w:rsid w:val="00247D91"/>
    <w:rsid w:val="002505AA"/>
    <w:rsid w:val="00252060"/>
    <w:rsid w:val="0025418D"/>
    <w:rsid w:val="00254F8C"/>
    <w:rsid w:val="00255343"/>
    <w:rsid w:val="00255D24"/>
    <w:rsid w:val="00256767"/>
    <w:rsid w:val="002577AE"/>
    <w:rsid w:val="002579B2"/>
    <w:rsid w:val="00261B60"/>
    <w:rsid w:val="0026251F"/>
    <w:rsid w:val="00262E31"/>
    <w:rsid w:val="002639E6"/>
    <w:rsid w:val="002656DF"/>
    <w:rsid w:val="00265E2E"/>
    <w:rsid w:val="00267970"/>
    <w:rsid w:val="00267A87"/>
    <w:rsid w:val="002705B3"/>
    <w:rsid w:val="00271F20"/>
    <w:rsid w:val="00272E35"/>
    <w:rsid w:val="002730C7"/>
    <w:rsid w:val="00273270"/>
    <w:rsid w:val="002743A6"/>
    <w:rsid w:val="002748B5"/>
    <w:rsid w:val="0027735E"/>
    <w:rsid w:val="002773A7"/>
    <w:rsid w:val="0027747C"/>
    <w:rsid w:val="0027752A"/>
    <w:rsid w:val="00277CE6"/>
    <w:rsid w:val="002813A6"/>
    <w:rsid w:val="00281497"/>
    <w:rsid w:val="00281CC6"/>
    <w:rsid w:val="00282302"/>
    <w:rsid w:val="0028238B"/>
    <w:rsid w:val="002824EE"/>
    <w:rsid w:val="00282829"/>
    <w:rsid w:val="00282936"/>
    <w:rsid w:val="0028498A"/>
    <w:rsid w:val="00284AA5"/>
    <w:rsid w:val="0028575B"/>
    <w:rsid w:val="00285BD1"/>
    <w:rsid w:val="0028606C"/>
    <w:rsid w:val="00286CD3"/>
    <w:rsid w:val="00290792"/>
    <w:rsid w:val="00290B9B"/>
    <w:rsid w:val="002910A7"/>
    <w:rsid w:val="0029133B"/>
    <w:rsid w:val="0029212C"/>
    <w:rsid w:val="00292B6B"/>
    <w:rsid w:val="00294D08"/>
    <w:rsid w:val="00296DF5"/>
    <w:rsid w:val="00297996"/>
    <w:rsid w:val="00297A21"/>
    <w:rsid w:val="00297ACD"/>
    <w:rsid w:val="00297BBC"/>
    <w:rsid w:val="002A0E24"/>
    <w:rsid w:val="002A197E"/>
    <w:rsid w:val="002A1FD2"/>
    <w:rsid w:val="002A290B"/>
    <w:rsid w:val="002A2AAC"/>
    <w:rsid w:val="002A3161"/>
    <w:rsid w:val="002A48E2"/>
    <w:rsid w:val="002A546D"/>
    <w:rsid w:val="002A628A"/>
    <w:rsid w:val="002A6739"/>
    <w:rsid w:val="002A7FF1"/>
    <w:rsid w:val="002B0CAC"/>
    <w:rsid w:val="002B148B"/>
    <w:rsid w:val="002B1708"/>
    <w:rsid w:val="002B1828"/>
    <w:rsid w:val="002B1CD7"/>
    <w:rsid w:val="002B29F0"/>
    <w:rsid w:val="002B36A8"/>
    <w:rsid w:val="002B37CA"/>
    <w:rsid w:val="002B381C"/>
    <w:rsid w:val="002B4186"/>
    <w:rsid w:val="002B419A"/>
    <w:rsid w:val="002B4851"/>
    <w:rsid w:val="002B4B33"/>
    <w:rsid w:val="002B4EEC"/>
    <w:rsid w:val="002B52C5"/>
    <w:rsid w:val="002B5758"/>
    <w:rsid w:val="002B59C7"/>
    <w:rsid w:val="002B7083"/>
    <w:rsid w:val="002B7C47"/>
    <w:rsid w:val="002B7C70"/>
    <w:rsid w:val="002C0A49"/>
    <w:rsid w:val="002C2A98"/>
    <w:rsid w:val="002C2FEC"/>
    <w:rsid w:val="002C3AFE"/>
    <w:rsid w:val="002C4AFD"/>
    <w:rsid w:val="002C641E"/>
    <w:rsid w:val="002C670A"/>
    <w:rsid w:val="002D0AB6"/>
    <w:rsid w:val="002D0D3A"/>
    <w:rsid w:val="002D17E8"/>
    <w:rsid w:val="002D1A95"/>
    <w:rsid w:val="002D214B"/>
    <w:rsid w:val="002D26EF"/>
    <w:rsid w:val="002D305D"/>
    <w:rsid w:val="002D3E1A"/>
    <w:rsid w:val="002D551F"/>
    <w:rsid w:val="002D5A00"/>
    <w:rsid w:val="002D6B5D"/>
    <w:rsid w:val="002D75B3"/>
    <w:rsid w:val="002D7CA1"/>
    <w:rsid w:val="002D7CAA"/>
    <w:rsid w:val="002E01F3"/>
    <w:rsid w:val="002E0CF7"/>
    <w:rsid w:val="002E1159"/>
    <w:rsid w:val="002E1B23"/>
    <w:rsid w:val="002E1DEB"/>
    <w:rsid w:val="002E27DF"/>
    <w:rsid w:val="002E3493"/>
    <w:rsid w:val="002E3CB0"/>
    <w:rsid w:val="002E3E8A"/>
    <w:rsid w:val="002E42D7"/>
    <w:rsid w:val="002E59CE"/>
    <w:rsid w:val="002E74D8"/>
    <w:rsid w:val="002F5616"/>
    <w:rsid w:val="002F5CE8"/>
    <w:rsid w:val="002F651B"/>
    <w:rsid w:val="002F7C5F"/>
    <w:rsid w:val="002F7D98"/>
    <w:rsid w:val="003008E8"/>
    <w:rsid w:val="003019DD"/>
    <w:rsid w:val="00301E33"/>
    <w:rsid w:val="00302B96"/>
    <w:rsid w:val="003037FB"/>
    <w:rsid w:val="00305A26"/>
    <w:rsid w:val="003063A7"/>
    <w:rsid w:val="00306EBD"/>
    <w:rsid w:val="00306F7A"/>
    <w:rsid w:val="00307B3F"/>
    <w:rsid w:val="0031104F"/>
    <w:rsid w:val="00311A40"/>
    <w:rsid w:val="00312475"/>
    <w:rsid w:val="00314070"/>
    <w:rsid w:val="003142F2"/>
    <w:rsid w:val="0031603C"/>
    <w:rsid w:val="00317EB1"/>
    <w:rsid w:val="00323311"/>
    <w:rsid w:val="003233CB"/>
    <w:rsid w:val="00323A7A"/>
    <w:rsid w:val="00323AA7"/>
    <w:rsid w:val="003254CA"/>
    <w:rsid w:val="00325B33"/>
    <w:rsid w:val="00327307"/>
    <w:rsid w:val="00327C02"/>
    <w:rsid w:val="00330E45"/>
    <w:rsid w:val="00331C3E"/>
    <w:rsid w:val="00331F3B"/>
    <w:rsid w:val="003337C0"/>
    <w:rsid w:val="00333DAF"/>
    <w:rsid w:val="00334F32"/>
    <w:rsid w:val="003352B2"/>
    <w:rsid w:val="00335D74"/>
    <w:rsid w:val="00336B91"/>
    <w:rsid w:val="003373B1"/>
    <w:rsid w:val="00340A58"/>
    <w:rsid w:val="0034105B"/>
    <w:rsid w:val="0034183B"/>
    <w:rsid w:val="00342C86"/>
    <w:rsid w:val="003431A2"/>
    <w:rsid w:val="00344641"/>
    <w:rsid w:val="003447C3"/>
    <w:rsid w:val="00344E9A"/>
    <w:rsid w:val="003452AE"/>
    <w:rsid w:val="00345B71"/>
    <w:rsid w:val="00345C3A"/>
    <w:rsid w:val="0034685C"/>
    <w:rsid w:val="003476DD"/>
    <w:rsid w:val="00350FF7"/>
    <w:rsid w:val="003512BA"/>
    <w:rsid w:val="003525F6"/>
    <w:rsid w:val="003527C3"/>
    <w:rsid w:val="00352CFC"/>
    <w:rsid w:val="00354C86"/>
    <w:rsid w:val="003551AF"/>
    <w:rsid w:val="00355E9A"/>
    <w:rsid w:val="00355EF8"/>
    <w:rsid w:val="0035729C"/>
    <w:rsid w:val="00361086"/>
    <w:rsid w:val="00361192"/>
    <w:rsid w:val="00361C77"/>
    <w:rsid w:val="00361F31"/>
    <w:rsid w:val="003625DE"/>
    <w:rsid w:val="00363A0C"/>
    <w:rsid w:val="00364BD3"/>
    <w:rsid w:val="00365292"/>
    <w:rsid w:val="00367406"/>
    <w:rsid w:val="0037093D"/>
    <w:rsid w:val="00370A5A"/>
    <w:rsid w:val="00371557"/>
    <w:rsid w:val="00373279"/>
    <w:rsid w:val="00375937"/>
    <w:rsid w:val="00375961"/>
    <w:rsid w:val="00375D41"/>
    <w:rsid w:val="0037652A"/>
    <w:rsid w:val="00377224"/>
    <w:rsid w:val="00377A3A"/>
    <w:rsid w:val="003803A4"/>
    <w:rsid w:val="0038192D"/>
    <w:rsid w:val="00381D88"/>
    <w:rsid w:val="003821C6"/>
    <w:rsid w:val="00383C33"/>
    <w:rsid w:val="0038491E"/>
    <w:rsid w:val="00385799"/>
    <w:rsid w:val="0038746B"/>
    <w:rsid w:val="0038764F"/>
    <w:rsid w:val="003876D3"/>
    <w:rsid w:val="0038780C"/>
    <w:rsid w:val="003903FD"/>
    <w:rsid w:val="0039059E"/>
    <w:rsid w:val="003917B1"/>
    <w:rsid w:val="003926C6"/>
    <w:rsid w:val="003942F8"/>
    <w:rsid w:val="0039482D"/>
    <w:rsid w:val="00394D51"/>
    <w:rsid w:val="00394EA8"/>
    <w:rsid w:val="00395EFD"/>
    <w:rsid w:val="0039660D"/>
    <w:rsid w:val="0039671C"/>
    <w:rsid w:val="003A010D"/>
    <w:rsid w:val="003A0150"/>
    <w:rsid w:val="003A01EB"/>
    <w:rsid w:val="003A0712"/>
    <w:rsid w:val="003A12D0"/>
    <w:rsid w:val="003A1828"/>
    <w:rsid w:val="003A1F6B"/>
    <w:rsid w:val="003A21FD"/>
    <w:rsid w:val="003A2475"/>
    <w:rsid w:val="003A2685"/>
    <w:rsid w:val="003A6C85"/>
    <w:rsid w:val="003B0B72"/>
    <w:rsid w:val="003B1491"/>
    <w:rsid w:val="003B1859"/>
    <w:rsid w:val="003B38F6"/>
    <w:rsid w:val="003B3EAD"/>
    <w:rsid w:val="003B43B2"/>
    <w:rsid w:val="003B4773"/>
    <w:rsid w:val="003B48F5"/>
    <w:rsid w:val="003B5597"/>
    <w:rsid w:val="003B61EF"/>
    <w:rsid w:val="003B7806"/>
    <w:rsid w:val="003B7FCA"/>
    <w:rsid w:val="003C3A0B"/>
    <w:rsid w:val="003C5245"/>
    <w:rsid w:val="003C5702"/>
    <w:rsid w:val="003C584C"/>
    <w:rsid w:val="003C5879"/>
    <w:rsid w:val="003C58EE"/>
    <w:rsid w:val="003C70AF"/>
    <w:rsid w:val="003D0C64"/>
    <w:rsid w:val="003D10B6"/>
    <w:rsid w:val="003D15C4"/>
    <w:rsid w:val="003D1F21"/>
    <w:rsid w:val="003D1FA3"/>
    <w:rsid w:val="003D30BA"/>
    <w:rsid w:val="003D3CA5"/>
    <w:rsid w:val="003D3E39"/>
    <w:rsid w:val="003D573A"/>
    <w:rsid w:val="003D6E29"/>
    <w:rsid w:val="003E01D8"/>
    <w:rsid w:val="003E2A57"/>
    <w:rsid w:val="003E38B9"/>
    <w:rsid w:val="003E41E2"/>
    <w:rsid w:val="003E6C6D"/>
    <w:rsid w:val="003F0190"/>
    <w:rsid w:val="003F01C9"/>
    <w:rsid w:val="003F0629"/>
    <w:rsid w:val="003F29A4"/>
    <w:rsid w:val="003F5740"/>
    <w:rsid w:val="003F5BEB"/>
    <w:rsid w:val="003F66B8"/>
    <w:rsid w:val="003F6851"/>
    <w:rsid w:val="003F7224"/>
    <w:rsid w:val="003F7362"/>
    <w:rsid w:val="003F790E"/>
    <w:rsid w:val="003F7E35"/>
    <w:rsid w:val="004005AD"/>
    <w:rsid w:val="00400F56"/>
    <w:rsid w:val="00403919"/>
    <w:rsid w:val="00404755"/>
    <w:rsid w:val="004048B3"/>
    <w:rsid w:val="00404C9A"/>
    <w:rsid w:val="00404DB7"/>
    <w:rsid w:val="00405A64"/>
    <w:rsid w:val="00405BA7"/>
    <w:rsid w:val="00407497"/>
    <w:rsid w:val="00410306"/>
    <w:rsid w:val="00410660"/>
    <w:rsid w:val="004118E1"/>
    <w:rsid w:val="00412210"/>
    <w:rsid w:val="004123AB"/>
    <w:rsid w:val="00412647"/>
    <w:rsid w:val="00412860"/>
    <w:rsid w:val="00412CDD"/>
    <w:rsid w:val="00413A8F"/>
    <w:rsid w:val="00413D70"/>
    <w:rsid w:val="00414A69"/>
    <w:rsid w:val="004152F5"/>
    <w:rsid w:val="00415BC9"/>
    <w:rsid w:val="004166D3"/>
    <w:rsid w:val="0041726F"/>
    <w:rsid w:val="004210D2"/>
    <w:rsid w:val="004212CA"/>
    <w:rsid w:val="004213A7"/>
    <w:rsid w:val="0042163D"/>
    <w:rsid w:val="00422157"/>
    <w:rsid w:val="00422188"/>
    <w:rsid w:val="00422472"/>
    <w:rsid w:val="00422AAF"/>
    <w:rsid w:val="004231AE"/>
    <w:rsid w:val="00424ECE"/>
    <w:rsid w:val="00427AB1"/>
    <w:rsid w:val="00427FC2"/>
    <w:rsid w:val="0043002B"/>
    <w:rsid w:val="004303D5"/>
    <w:rsid w:val="00431C25"/>
    <w:rsid w:val="00432499"/>
    <w:rsid w:val="00432C8D"/>
    <w:rsid w:val="0043456B"/>
    <w:rsid w:val="004348DB"/>
    <w:rsid w:val="00435830"/>
    <w:rsid w:val="0043597F"/>
    <w:rsid w:val="004367E0"/>
    <w:rsid w:val="004379B8"/>
    <w:rsid w:val="00440187"/>
    <w:rsid w:val="00440D45"/>
    <w:rsid w:val="00441D2A"/>
    <w:rsid w:val="00442C05"/>
    <w:rsid w:val="0044322E"/>
    <w:rsid w:val="00443BCD"/>
    <w:rsid w:val="00443DF1"/>
    <w:rsid w:val="00444180"/>
    <w:rsid w:val="004443AA"/>
    <w:rsid w:val="0044561B"/>
    <w:rsid w:val="00446D3F"/>
    <w:rsid w:val="00446FA6"/>
    <w:rsid w:val="004471C8"/>
    <w:rsid w:val="004478B0"/>
    <w:rsid w:val="00450B1F"/>
    <w:rsid w:val="004512B6"/>
    <w:rsid w:val="00451CCE"/>
    <w:rsid w:val="00452011"/>
    <w:rsid w:val="004524CF"/>
    <w:rsid w:val="004529EF"/>
    <w:rsid w:val="0045552B"/>
    <w:rsid w:val="00455BD8"/>
    <w:rsid w:val="00456AF9"/>
    <w:rsid w:val="004575A7"/>
    <w:rsid w:val="004577DC"/>
    <w:rsid w:val="004605E1"/>
    <w:rsid w:val="00460E8A"/>
    <w:rsid w:val="00462788"/>
    <w:rsid w:val="004630EE"/>
    <w:rsid w:val="00463ABE"/>
    <w:rsid w:val="00463B71"/>
    <w:rsid w:val="00463CD7"/>
    <w:rsid w:val="00463D8B"/>
    <w:rsid w:val="00465AB7"/>
    <w:rsid w:val="00466B61"/>
    <w:rsid w:val="00466C91"/>
    <w:rsid w:val="00467FED"/>
    <w:rsid w:val="004745C5"/>
    <w:rsid w:val="0047485F"/>
    <w:rsid w:val="00474A2D"/>
    <w:rsid w:val="0047523E"/>
    <w:rsid w:val="004759CA"/>
    <w:rsid w:val="00475F15"/>
    <w:rsid w:val="004764C3"/>
    <w:rsid w:val="00477973"/>
    <w:rsid w:val="00477A94"/>
    <w:rsid w:val="004809F0"/>
    <w:rsid w:val="00481C2E"/>
    <w:rsid w:val="00482363"/>
    <w:rsid w:val="00483258"/>
    <w:rsid w:val="00483792"/>
    <w:rsid w:val="00486131"/>
    <w:rsid w:val="00487806"/>
    <w:rsid w:val="00487CF0"/>
    <w:rsid w:val="00490B14"/>
    <w:rsid w:val="004924A2"/>
    <w:rsid w:val="0049259D"/>
    <w:rsid w:val="00494F95"/>
    <w:rsid w:val="004955C6"/>
    <w:rsid w:val="004972D2"/>
    <w:rsid w:val="004A27BA"/>
    <w:rsid w:val="004A3523"/>
    <w:rsid w:val="004A3685"/>
    <w:rsid w:val="004A370C"/>
    <w:rsid w:val="004A39A6"/>
    <w:rsid w:val="004A46EB"/>
    <w:rsid w:val="004A4969"/>
    <w:rsid w:val="004A74AC"/>
    <w:rsid w:val="004A79BE"/>
    <w:rsid w:val="004B0208"/>
    <w:rsid w:val="004B058D"/>
    <w:rsid w:val="004B1D86"/>
    <w:rsid w:val="004B2958"/>
    <w:rsid w:val="004B29E4"/>
    <w:rsid w:val="004B3899"/>
    <w:rsid w:val="004B4813"/>
    <w:rsid w:val="004B6ADA"/>
    <w:rsid w:val="004C4728"/>
    <w:rsid w:val="004C47B5"/>
    <w:rsid w:val="004C47BE"/>
    <w:rsid w:val="004C5007"/>
    <w:rsid w:val="004C501B"/>
    <w:rsid w:val="004C6B4A"/>
    <w:rsid w:val="004C6F44"/>
    <w:rsid w:val="004C7064"/>
    <w:rsid w:val="004C70C4"/>
    <w:rsid w:val="004C7BF2"/>
    <w:rsid w:val="004D041B"/>
    <w:rsid w:val="004D27F3"/>
    <w:rsid w:val="004D2B15"/>
    <w:rsid w:val="004D4192"/>
    <w:rsid w:val="004D4394"/>
    <w:rsid w:val="004D536F"/>
    <w:rsid w:val="004D67A4"/>
    <w:rsid w:val="004D6C18"/>
    <w:rsid w:val="004D6DE7"/>
    <w:rsid w:val="004D73A6"/>
    <w:rsid w:val="004E1460"/>
    <w:rsid w:val="004E1C4A"/>
    <w:rsid w:val="004E254A"/>
    <w:rsid w:val="004E25F4"/>
    <w:rsid w:val="004E2816"/>
    <w:rsid w:val="004E2D19"/>
    <w:rsid w:val="004E2FA2"/>
    <w:rsid w:val="004E6E1E"/>
    <w:rsid w:val="004E70B9"/>
    <w:rsid w:val="004F00BB"/>
    <w:rsid w:val="004F0366"/>
    <w:rsid w:val="004F0F9C"/>
    <w:rsid w:val="004F2E89"/>
    <w:rsid w:val="004F5D29"/>
    <w:rsid w:val="004F6C92"/>
    <w:rsid w:val="005007DA"/>
    <w:rsid w:val="005022F2"/>
    <w:rsid w:val="005029A6"/>
    <w:rsid w:val="00503C33"/>
    <w:rsid w:val="00503DC0"/>
    <w:rsid w:val="0050443A"/>
    <w:rsid w:val="00504E53"/>
    <w:rsid w:val="00505772"/>
    <w:rsid w:val="005068E2"/>
    <w:rsid w:val="00506F15"/>
    <w:rsid w:val="00506F99"/>
    <w:rsid w:val="0050766F"/>
    <w:rsid w:val="00510129"/>
    <w:rsid w:val="0051065C"/>
    <w:rsid w:val="005107D6"/>
    <w:rsid w:val="00511320"/>
    <w:rsid w:val="0051210F"/>
    <w:rsid w:val="0051222E"/>
    <w:rsid w:val="00512774"/>
    <w:rsid w:val="00512CC4"/>
    <w:rsid w:val="0051308B"/>
    <w:rsid w:val="005137BA"/>
    <w:rsid w:val="0051414F"/>
    <w:rsid w:val="00515E31"/>
    <w:rsid w:val="005224A7"/>
    <w:rsid w:val="00526AB3"/>
    <w:rsid w:val="00526D2D"/>
    <w:rsid w:val="00530CD6"/>
    <w:rsid w:val="00531346"/>
    <w:rsid w:val="00531892"/>
    <w:rsid w:val="0053222C"/>
    <w:rsid w:val="00532A1A"/>
    <w:rsid w:val="00534206"/>
    <w:rsid w:val="00534D02"/>
    <w:rsid w:val="00537A0C"/>
    <w:rsid w:val="0054022B"/>
    <w:rsid w:val="00540A97"/>
    <w:rsid w:val="00542096"/>
    <w:rsid w:val="00543592"/>
    <w:rsid w:val="005437DC"/>
    <w:rsid w:val="00543D82"/>
    <w:rsid w:val="00543F75"/>
    <w:rsid w:val="00544083"/>
    <w:rsid w:val="00544D17"/>
    <w:rsid w:val="00546A07"/>
    <w:rsid w:val="00550A52"/>
    <w:rsid w:val="00551E0E"/>
    <w:rsid w:val="00552A82"/>
    <w:rsid w:val="00555E3D"/>
    <w:rsid w:val="00556C71"/>
    <w:rsid w:val="0055776B"/>
    <w:rsid w:val="00561C16"/>
    <w:rsid w:val="00562679"/>
    <w:rsid w:val="00562993"/>
    <w:rsid w:val="00564669"/>
    <w:rsid w:val="005658A2"/>
    <w:rsid w:val="005663D4"/>
    <w:rsid w:val="00571832"/>
    <w:rsid w:val="00573188"/>
    <w:rsid w:val="005743B6"/>
    <w:rsid w:val="00575C3E"/>
    <w:rsid w:val="00575D5A"/>
    <w:rsid w:val="0057614E"/>
    <w:rsid w:val="0057639A"/>
    <w:rsid w:val="00576967"/>
    <w:rsid w:val="005776ED"/>
    <w:rsid w:val="00580A49"/>
    <w:rsid w:val="00583644"/>
    <w:rsid w:val="00583A90"/>
    <w:rsid w:val="00583DDF"/>
    <w:rsid w:val="00584FAB"/>
    <w:rsid w:val="00585603"/>
    <w:rsid w:val="005872CD"/>
    <w:rsid w:val="00587FE8"/>
    <w:rsid w:val="0059083C"/>
    <w:rsid w:val="00591AB4"/>
    <w:rsid w:val="00592150"/>
    <w:rsid w:val="005940F8"/>
    <w:rsid w:val="00594432"/>
    <w:rsid w:val="00594DDA"/>
    <w:rsid w:val="00595880"/>
    <w:rsid w:val="00595AC3"/>
    <w:rsid w:val="00595AC8"/>
    <w:rsid w:val="00595DBF"/>
    <w:rsid w:val="00596329"/>
    <w:rsid w:val="0059634F"/>
    <w:rsid w:val="00596A9F"/>
    <w:rsid w:val="00597C48"/>
    <w:rsid w:val="00597DE3"/>
    <w:rsid w:val="005A1AC2"/>
    <w:rsid w:val="005A2D89"/>
    <w:rsid w:val="005A2FB1"/>
    <w:rsid w:val="005A4F40"/>
    <w:rsid w:val="005A5027"/>
    <w:rsid w:val="005A52AB"/>
    <w:rsid w:val="005B1E4C"/>
    <w:rsid w:val="005B3F69"/>
    <w:rsid w:val="005B6174"/>
    <w:rsid w:val="005B65C3"/>
    <w:rsid w:val="005B6613"/>
    <w:rsid w:val="005B6AD9"/>
    <w:rsid w:val="005C009C"/>
    <w:rsid w:val="005C0526"/>
    <w:rsid w:val="005C0AED"/>
    <w:rsid w:val="005C0D0E"/>
    <w:rsid w:val="005C2691"/>
    <w:rsid w:val="005C2C22"/>
    <w:rsid w:val="005C3FE8"/>
    <w:rsid w:val="005C4C7C"/>
    <w:rsid w:val="005C559E"/>
    <w:rsid w:val="005C75EA"/>
    <w:rsid w:val="005C7A70"/>
    <w:rsid w:val="005D218B"/>
    <w:rsid w:val="005D24E9"/>
    <w:rsid w:val="005D27D3"/>
    <w:rsid w:val="005D2C9D"/>
    <w:rsid w:val="005D2DFD"/>
    <w:rsid w:val="005D32E6"/>
    <w:rsid w:val="005D34F9"/>
    <w:rsid w:val="005D444E"/>
    <w:rsid w:val="005D45C1"/>
    <w:rsid w:val="005D473D"/>
    <w:rsid w:val="005D7617"/>
    <w:rsid w:val="005D7CFE"/>
    <w:rsid w:val="005E03A1"/>
    <w:rsid w:val="005E2625"/>
    <w:rsid w:val="005E2B39"/>
    <w:rsid w:val="005E2FDD"/>
    <w:rsid w:val="005E300E"/>
    <w:rsid w:val="005E5B12"/>
    <w:rsid w:val="005E6451"/>
    <w:rsid w:val="005F0C98"/>
    <w:rsid w:val="005F0CF6"/>
    <w:rsid w:val="005F0F0E"/>
    <w:rsid w:val="005F1293"/>
    <w:rsid w:val="005F2149"/>
    <w:rsid w:val="005F391B"/>
    <w:rsid w:val="005F418D"/>
    <w:rsid w:val="005F4580"/>
    <w:rsid w:val="005F4D58"/>
    <w:rsid w:val="005F4E33"/>
    <w:rsid w:val="005F5668"/>
    <w:rsid w:val="005F653B"/>
    <w:rsid w:val="005F67DC"/>
    <w:rsid w:val="005F6B8E"/>
    <w:rsid w:val="005F6F88"/>
    <w:rsid w:val="005F7726"/>
    <w:rsid w:val="006004F1"/>
    <w:rsid w:val="006026F8"/>
    <w:rsid w:val="00604C08"/>
    <w:rsid w:val="00606800"/>
    <w:rsid w:val="0060715C"/>
    <w:rsid w:val="0060788E"/>
    <w:rsid w:val="00610C28"/>
    <w:rsid w:val="00611305"/>
    <w:rsid w:val="00611C89"/>
    <w:rsid w:val="00612F50"/>
    <w:rsid w:val="006132AD"/>
    <w:rsid w:val="006134D5"/>
    <w:rsid w:val="006145F5"/>
    <w:rsid w:val="00615829"/>
    <w:rsid w:val="00616448"/>
    <w:rsid w:val="00616802"/>
    <w:rsid w:val="0061778D"/>
    <w:rsid w:val="00620793"/>
    <w:rsid w:val="00620C63"/>
    <w:rsid w:val="00620F8F"/>
    <w:rsid w:val="0062165A"/>
    <w:rsid w:val="006218A7"/>
    <w:rsid w:val="0062384B"/>
    <w:rsid w:val="006251A9"/>
    <w:rsid w:val="006251DA"/>
    <w:rsid w:val="006260A7"/>
    <w:rsid w:val="00626B2D"/>
    <w:rsid w:val="00627936"/>
    <w:rsid w:val="0063032D"/>
    <w:rsid w:val="00630E80"/>
    <w:rsid w:val="006321E4"/>
    <w:rsid w:val="006323E9"/>
    <w:rsid w:val="006366E9"/>
    <w:rsid w:val="0064049B"/>
    <w:rsid w:val="006406A5"/>
    <w:rsid w:val="00640DC8"/>
    <w:rsid w:val="00644C4B"/>
    <w:rsid w:val="0064536F"/>
    <w:rsid w:val="00645BBF"/>
    <w:rsid w:val="00646EDF"/>
    <w:rsid w:val="00647530"/>
    <w:rsid w:val="006509A7"/>
    <w:rsid w:val="0065370E"/>
    <w:rsid w:val="0065375B"/>
    <w:rsid w:val="00654ABE"/>
    <w:rsid w:val="00655D1E"/>
    <w:rsid w:val="006614FD"/>
    <w:rsid w:val="00662820"/>
    <w:rsid w:val="00662F1B"/>
    <w:rsid w:val="00663C55"/>
    <w:rsid w:val="00666709"/>
    <w:rsid w:val="00666B3F"/>
    <w:rsid w:val="00666F64"/>
    <w:rsid w:val="006675F4"/>
    <w:rsid w:val="00667A27"/>
    <w:rsid w:val="00667DBC"/>
    <w:rsid w:val="0067093A"/>
    <w:rsid w:val="00671547"/>
    <w:rsid w:val="00673702"/>
    <w:rsid w:val="00673D72"/>
    <w:rsid w:val="006741AB"/>
    <w:rsid w:val="0067564E"/>
    <w:rsid w:val="00677109"/>
    <w:rsid w:val="006773A3"/>
    <w:rsid w:val="00680743"/>
    <w:rsid w:val="0068113E"/>
    <w:rsid w:val="00681DCC"/>
    <w:rsid w:val="00681EFF"/>
    <w:rsid w:val="0068268D"/>
    <w:rsid w:val="00683116"/>
    <w:rsid w:val="00683EE2"/>
    <w:rsid w:val="0068491A"/>
    <w:rsid w:val="00685086"/>
    <w:rsid w:val="0068590A"/>
    <w:rsid w:val="00686086"/>
    <w:rsid w:val="006860F4"/>
    <w:rsid w:val="006865C2"/>
    <w:rsid w:val="00686DA1"/>
    <w:rsid w:val="0068778F"/>
    <w:rsid w:val="006901D5"/>
    <w:rsid w:val="006925D4"/>
    <w:rsid w:val="00694FAF"/>
    <w:rsid w:val="006963C4"/>
    <w:rsid w:val="00696E90"/>
    <w:rsid w:val="006A0C3C"/>
    <w:rsid w:val="006A162D"/>
    <w:rsid w:val="006A16C1"/>
    <w:rsid w:val="006A3849"/>
    <w:rsid w:val="006A43A2"/>
    <w:rsid w:val="006A479E"/>
    <w:rsid w:val="006A4805"/>
    <w:rsid w:val="006A50DB"/>
    <w:rsid w:val="006A75AE"/>
    <w:rsid w:val="006A76EC"/>
    <w:rsid w:val="006B0E6C"/>
    <w:rsid w:val="006B1264"/>
    <w:rsid w:val="006B15DC"/>
    <w:rsid w:val="006B252A"/>
    <w:rsid w:val="006B2D4C"/>
    <w:rsid w:val="006B4CD7"/>
    <w:rsid w:val="006B642C"/>
    <w:rsid w:val="006B7BB7"/>
    <w:rsid w:val="006C07E8"/>
    <w:rsid w:val="006C2D68"/>
    <w:rsid w:val="006C3C21"/>
    <w:rsid w:val="006C3C82"/>
    <w:rsid w:val="006C4872"/>
    <w:rsid w:val="006C4C97"/>
    <w:rsid w:val="006C4D24"/>
    <w:rsid w:val="006C4D61"/>
    <w:rsid w:val="006C60A5"/>
    <w:rsid w:val="006C6495"/>
    <w:rsid w:val="006C732C"/>
    <w:rsid w:val="006D028C"/>
    <w:rsid w:val="006D1906"/>
    <w:rsid w:val="006D1DBA"/>
    <w:rsid w:val="006D1ECB"/>
    <w:rsid w:val="006D28F7"/>
    <w:rsid w:val="006D30A0"/>
    <w:rsid w:val="006D4210"/>
    <w:rsid w:val="006D4719"/>
    <w:rsid w:val="006D47AE"/>
    <w:rsid w:val="006D4BB5"/>
    <w:rsid w:val="006D55B6"/>
    <w:rsid w:val="006D608C"/>
    <w:rsid w:val="006D657A"/>
    <w:rsid w:val="006D738C"/>
    <w:rsid w:val="006D7693"/>
    <w:rsid w:val="006E0557"/>
    <w:rsid w:val="006E22F7"/>
    <w:rsid w:val="006E2531"/>
    <w:rsid w:val="006E2611"/>
    <w:rsid w:val="006E2D15"/>
    <w:rsid w:val="006E2ED3"/>
    <w:rsid w:val="006E2F24"/>
    <w:rsid w:val="006E4A4E"/>
    <w:rsid w:val="006E4A86"/>
    <w:rsid w:val="006E5B79"/>
    <w:rsid w:val="006E6425"/>
    <w:rsid w:val="006E6606"/>
    <w:rsid w:val="006E6669"/>
    <w:rsid w:val="006E7C3A"/>
    <w:rsid w:val="006F0887"/>
    <w:rsid w:val="006F090C"/>
    <w:rsid w:val="006F2240"/>
    <w:rsid w:val="006F2D97"/>
    <w:rsid w:val="006F33A8"/>
    <w:rsid w:val="006F4025"/>
    <w:rsid w:val="006F576E"/>
    <w:rsid w:val="006F5788"/>
    <w:rsid w:val="006F578E"/>
    <w:rsid w:val="006F5A31"/>
    <w:rsid w:val="006F6444"/>
    <w:rsid w:val="006F7537"/>
    <w:rsid w:val="00700AC2"/>
    <w:rsid w:val="00701240"/>
    <w:rsid w:val="007012B4"/>
    <w:rsid w:val="00701AE4"/>
    <w:rsid w:val="00702FD8"/>
    <w:rsid w:val="007030FF"/>
    <w:rsid w:val="007034C3"/>
    <w:rsid w:val="00703BBE"/>
    <w:rsid w:val="007040BE"/>
    <w:rsid w:val="00705402"/>
    <w:rsid w:val="00705CC8"/>
    <w:rsid w:val="0070777D"/>
    <w:rsid w:val="007102C1"/>
    <w:rsid w:val="007135B3"/>
    <w:rsid w:val="007136E3"/>
    <w:rsid w:val="00715442"/>
    <w:rsid w:val="00715F64"/>
    <w:rsid w:val="00716F72"/>
    <w:rsid w:val="00720B04"/>
    <w:rsid w:val="007213A0"/>
    <w:rsid w:val="00721B7F"/>
    <w:rsid w:val="00721D74"/>
    <w:rsid w:val="00722086"/>
    <w:rsid w:val="007230C3"/>
    <w:rsid w:val="007234C6"/>
    <w:rsid w:val="007236AF"/>
    <w:rsid w:val="007238E3"/>
    <w:rsid w:val="00723D12"/>
    <w:rsid w:val="00723F62"/>
    <w:rsid w:val="0072430D"/>
    <w:rsid w:val="00724476"/>
    <w:rsid w:val="00724C6F"/>
    <w:rsid w:val="007277FC"/>
    <w:rsid w:val="0073060A"/>
    <w:rsid w:val="00730748"/>
    <w:rsid w:val="007314A2"/>
    <w:rsid w:val="00731E08"/>
    <w:rsid w:val="00734A8B"/>
    <w:rsid w:val="00735423"/>
    <w:rsid w:val="00736636"/>
    <w:rsid w:val="00737E03"/>
    <w:rsid w:val="0074018C"/>
    <w:rsid w:val="00741D58"/>
    <w:rsid w:val="00741E9E"/>
    <w:rsid w:val="00742649"/>
    <w:rsid w:val="00742680"/>
    <w:rsid w:val="0074319E"/>
    <w:rsid w:val="00746820"/>
    <w:rsid w:val="007469D5"/>
    <w:rsid w:val="00746A82"/>
    <w:rsid w:val="007470C9"/>
    <w:rsid w:val="00750B2B"/>
    <w:rsid w:val="007545E3"/>
    <w:rsid w:val="00755005"/>
    <w:rsid w:val="0075519C"/>
    <w:rsid w:val="0076017C"/>
    <w:rsid w:val="00760642"/>
    <w:rsid w:val="00760731"/>
    <w:rsid w:val="00760E77"/>
    <w:rsid w:val="0076214F"/>
    <w:rsid w:val="007653C1"/>
    <w:rsid w:val="00765A08"/>
    <w:rsid w:val="00765CD6"/>
    <w:rsid w:val="00765FDD"/>
    <w:rsid w:val="00766862"/>
    <w:rsid w:val="0077091B"/>
    <w:rsid w:val="007715E6"/>
    <w:rsid w:val="00771614"/>
    <w:rsid w:val="00771B94"/>
    <w:rsid w:val="00771E76"/>
    <w:rsid w:val="00772586"/>
    <w:rsid w:val="00772D6B"/>
    <w:rsid w:val="00775014"/>
    <w:rsid w:val="00775A8D"/>
    <w:rsid w:val="00777593"/>
    <w:rsid w:val="00777859"/>
    <w:rsid w:val="007806BB"/>
    <w:rsid w:val="0078167D"/>
    <w:rsid w:val="0078211D"/>
    <w:rsid w:val="007824D1"/>
    <w:rsid w:val="00782B6F"/>
    <w:rsid w:val="00783373"/>
    <w:rsid w:val="007849F8"/>
    <w:rsid w:val="00786391"/>
    <w:rsid w:val="007900AF"/>
    <w:rsid w:val="00790299"/>
    <w:rsid w:val="00794A31"/>
    <w:rsid w:val="00797154"/>
    <w:rsid w:val="007A1C2D"/>
    <w:rsid w:val="007A2BAE"/>
    <w:rsid w:val="007A6D23"/>
    <w:rsid w:val="007B108D"/>
    <w:rsid w:val="007B2674"/>
    <w:rsid w:val="007B2F80"/>
    <w:rsid w:val="007B401D"/>
    <w:rsid w:val="007B47C1"/>
    <w:rsid w:val="007B48C2"/>
    <w:rsid w:val="007B4ECE"/>
    <w:rsid w:val="007B561D"/>
    <w:rsid w:val="007B69BF"/>
    <w:rsid w:val="007C02F7"/>
    <w:rsid w:val="007C0742"/>
    <w:rsid w:val="007C119E"/>
    <w:rsid w:val="007C22AA"/>
    <w:rsid w:val="007C2BB2"/>
    <w:rsid w:val="007C329E"/>
    <w:rsid w:val="007C3948"/>
    <w:rsid w:val="007C529D"/>
    <w:rsid w:val="007C5909"/>
    <w:rsid w:val="007C62B5"/>
    <w:rsid w:val="007C6E46"/>
    <w:rsid w:val="007C73D3"/>
    <w:rsid w:val="007C7508"/>
    <w:rsid w:val="007C78FB"/>
    <w:rsid w:val="007D03C1"/>
    <w:rsid w:val="007D04B4"/>
    <w:rsid w:val="007D0927"/>
    <w:rsid w:val="007D16C5"/>
    <w:rsid w:val="007D1BE1"/>
    <w:rsid w:val="007D1C1E"/>
    <w:rsid w:val="007D1F58"/>
    <w:rsid w:val="007D24D6"/>
    <w:rsid w:val="007D2D2A"/>
    <w:rsid w:val="007D3445"/>
    <w:rsid w:val="007D38AA"/>
    <w:rsid w:val="007D3AA8"/>
    <w:rsid w:val="007D4771"/>
    <w:rsid w:val="007D4E31"/>
    <w:rsid w:val="007D5BE1"/>
    <w:rsid w:val="007D5E9F"/>
    <w:rsid w:val="007D605A"/>
    <w:rsid w:val="007D6C77"/>
    <w:rsid w:val="007E0136"/>
    <w:rsid w:val="007E041E"/>
    <w:rsid w:val="007E1176"/>
    <w:rsid w:val="007E3615"/>
    <w:rsid w:val="007E40FD"/>
    <w:rsid w:val="007E5C36"/>
    <w:rsid w:val="007E653B"/>
    <w:rsid w:val="007E710E"/>
    <w:rsid w:val="007F061D"/>
    <w:rsid w:val="007F0AC6"/>
    <w:rsid w:val="007F0CA2"/>
    <w:rsid w:val="007F1565"/>
    <w:rsid w:val="007F3B42"/>
    <w:rsid w:val="007F6164"/>
    <w:rsid w:val="007F6525"/>
    <w:rsid w:val="007F7030"/>
    <w:rsid w:val="00801B71"/>
    <w:rsid w:val="008020DC"/>
    <w:rsid w:val="00803590"/>
    <w:rsid w:val="008038E5"/>
    <w:rsid w:val="00803981"/>
    <w:rsid w:val="008060AF"/>
    <w:rsid w:val="0080636F"/>
    <w:rsid w:val="00806592"/>
    <w:rsid w:val="00806684"/>
    <w:rsid w:val="00806838"/>
    <w:rsid w:val="00806A10"/>
    <w:rsid w:val="008075F4"/>
    <w:rsid w:val="008127CC"/>
    <w:rsid w:val="00812F70"/>
    <w:rsid w:val="008200D7"/>
    <w:rsid w:val="0082392B"/>
    <w:rsid w:val="008239FA"/>
    <w:rsid w:val="00823DA1"/>
    <w:rsid w:val="00823E44"/>
    <w:rsid w:val="00824CBF"/>
    <w:rsid w:val="008255F5"/>
    <w:rsid w:val="00825A55"/>
    <w:rsid w:val="00825AB1"/>
    <w:rsid w:val="00827A61"/>
    <w:rsid w:val="00827DEE"/>
    <w:rsid w:val="00827E11"/>
    <w:rsid w:val="00830E83"/>
    <w:rsid w:val="00832389"/>
    <w:rsid w:val="00832BF3"/>
    <w:rsid w:val="0083375F"/>
    <w:rsid w:val="00833A56"/>
    <w:rsid w:val="00835060"/>
    <w:rsid w:val="00836566"/>
    <w:rsid w:val="00837BC9"/>
    <w:rsid w:val="00840097"/>
    <w:rsid w:val="00840833"/>
    <w:rsid w:val="0084281F"/>
    <w:rsid w:val="00843358"/>
    <w:rsid w:val="00844627"/>
    <w:rsid w:val="0084481E"/>
    <w:rsid w:val="00844E17"/>
    <w:rsid w:val="0084524C"/>
    <w:rsid w:val="00845643"/>
    <w:rsid w:val="008466AC"/>
    <w:rsid w:val="00851275"/>
    <w:rsid w:val="00851372"/>
    <w:rsid w:val="00851E61"/>
    <w:rsid w:val="00851ED0"/>
    <w:rsid w:val="00854111"/>
    <w:rsid w:val="00855CF7"/>
    <w:rsid w:val="008566B6"/>
    <w:rsid w:val="008579CD"/>
    <w:rsid w:val="00860180"/>
    <w:rsid w:val="00861A21"/>
    <w:rsid w:val="008627BD"/>
    <w:rsid w:val="00866977"/>
    <w:rsid w:val="00866994"/>
    <w:rsid w:val="00871C41"/>
    <w:rsid w:val="00872960"/>
    <w:rsid w:val="008731DE"/>
    <w:rsid w:val="00873FC4"/>
    <w:rsid w:val="008745BC"/>
    <w:rsid w:val="00874E21"/>
    <w:rsid w:val="00876AB2"/>
    <w:rsid w:val="00876E07"/>
    <w:rsid w:val="008778D5"/>
    <w:rsid w:val="00877CA6"/>
    <w:rsid w:val="00880968"/>
    <w:rsid w:val="0088168E"/>
    <w:rsid w:val="008819AD"/>
    <w:rsid w:val="00882E32"/>
    <w:rsid w:val="00883340"/>
    <w:rsid w:val="008849F9"/>
    <w:rsid w:val="0088607F"/>
    <w:rsid w:val="008863EF"/>
    <w:rsid w:val="008864A1"/>
    <w:rsid w:val="00886F85"/>
    <w:rsid w:val="00887E99"/>
    <w:rsid w:val="008900BA"/>
    <w:rsid w:val="008903A1"/>
    <w:rsid w:val="00892B0E"/>
    <w:rsid w:val="00893132"/>
    <w:rsid w:val="00893731"/>
    <w:rsid w:val="008955CF"/>
    <w:rsid w:val="0089682F"/>
    <w:rsid w:val="00897FBD"/>
    <w:rsid w:val="008A08F8"/>
    <w:rsid w:val="008A3F83"/>
    <w:rsid w:val="008A5890"/>
    <w:rsid w:val="008A6334"/>
    <w:rsid w:val="008A7099"/>
    <w:rsid w:val="008B027E"/>
    <w:rsid w:val="008B0B6B"/>
    <w:rsid w:val="008B1AD0"/>
    <w:rsid w:val="008B22C3"/>
    <w:rsid w:val="008B2639"/>
    <w:rsid w:val="008B2688"/>
    <w:rsid w:val="008B2D11"/>
    <w:rsid w:val="008B2EF0"/>
    <w:rsid w:val="008B48E5"/>
    <w:rsid w:val="008B4A40"/>
    <w:rsid w:val="008B6AEA"/>
    <w:rsid w:val="008B7099"/>
    <w:rsid w:val="008B718E"/>
    <w:rsid w:val="008C060F"/>
    <w:rsid w:val="008C0656"/>
    <w:rsid w:val="008C13FD"/>
    <w:rsid w:val="008C1719"/>
    <w:rsid w:val="008C1783"/>
    <w:rsid w:val="008C252C"/>
    <w:rsid w:val="008C274E"/>
    <w:rsid w:val="008C2883"/>
    <w:rsid w:val="008C2995"/>
    <w:rsid w:val="008C2DEC"/>
    <w:rsid w:val="008C358F"/>
    <w:rsid w:val="008C4196"/>
    <w:rsid w:val="008C4392"/>
    <w:rsid w:val="008C43ED"/>
    <w:rsid w:val="008C4C22"/>
    <w:rsid w:val="008C5432"/>
    <w:rsid w:val="008C568C"/>
    <w:rsid w:val="008C603E"/>
    <w:rsid w:val="008C700C"/>
    <w:rsid w:val="008C77A3"/>
    <w:rsid w:val="008D033E"/>
    <w:rsid w:val="008D043F"/>
    <w:rsid w:val="008D06EE"/>
    <w:rsid w:val="008D0B91"/>
    <w:rsid w:val="008D174B"/>
    <w:rsid w:val="008D1870"/>
    <w:rsid w:val="008D18CA"/>
    <w:rsid w:val="008D22D3"/>
    <w:rsid w:val="008D3AD1"/>
    <w:rsid w:val="008D5354"/>
    <w:rsid w:val="008D63B7"/>
    <w:rsid w:val="008D67B0"/>
    <w:rsid w:val="008E03D4"/>
    <w:rsid w:val="008E0545"/>
    <w:rsid w:val="008E1F98"/>
    <w:rsid w:val="008E2B8A"/>
    <w:rsid w:val="008E2F12"/>
    <w:rsid w:val="008E3B0E"/>
    <w:rsid w:val="008E3B5B"/>
    <w:rsid w:val="008E42B2"/>
    <w:rsid w:val="008E465C"/>
    <w:rsid w:val="008E4E73"/>
    <w:rsid w:val="008E52B9"/>
    <w:rsid w:val="008E589C"/>
    <w:rsid w:val="008E62D4"/>
    <w:rsid w:val="008E733D"/>
    <w:rsid w:val="008E7693"/>
    <w:rsid w:val="008F1414"/>
    <w:rsid w:val="008F1A52"/>
    <w:rsid w:val="008F28A2"/>
    <w:rsid w:val="008F397B"/>
    <w:rsid w:val="008F5CC9"/>
    <w:rsid w:val="008F5F0F"/>
    <w:rsid w:val="008F608D"/>
    <w:rsid w:val="008F7137"/>
    <w:rsid w:val="008F71A4"/>
    <w:rsid w:val="008F7A76"/>
    <w:rsid w:val="00901437"/>
    <w:rsid w:val="0090285C"/>
    <w:rsid w:val="00903202"/>
    <w:rsid w:val="00903C2C"/>
    <w:rsid w:val="0090408B"/>
    <w:rsid w:val="00904403"/>
    <w:rsid w:val="00904927"/>
    <w:rsid w:val="00905866"/>
    <w:rsid w:val="00907EAB"/>
    <w:rsid w:val="00907EB4"/>
    <w:rsid w:val="009100BA"/>
    <w:rsid w:val="0091271F"/>
    <w:rsid w:val="0091284F"/>
    <w:rsid w:val="00912EF8"/>
    <w:rsid w:val="009132B3"/>
    <w:rsid w:val="00914075"/>
    <w:rsid w:val="00914AAF"/>
    <w:rsid w:val="00914FC9"/>
    <w:rsid w:val="0091500A"/>
    <w:rsid w:val="00915744"/>
    <w:rsid w:val="0091686B"/>
    <w:rsid w:val="00917D40"/>
    <w:rsid w:val="00920283"/>
    <w:rsid w:val="009210A1"/>
    <w:rsid w:val="00921943"/>
    <w:rsid w:val="00921B41"/>
    <w:rsid w:val="009223EE"/>
    <w:rsid w:val="00924DCE"/>
    <w:rsid w:val="00925863"/>
    <w:rsid w:val="009266C6"/>
    <w:rsid w:val="00927C6C"/>
    <w:rsid w:val="00930E42"/>
    <w:rsid w:val="00931EE0"/>
    <w:rsid w:val="00931F7A"/>
    <w:rsid w:val="00932391"/>
    <w:rsid w:val="009327B9"/>
    <w:rsid w:val="0093341E"/>
    <w:rsid w:val="009334FF"/>
    <w:rsid w:val="0093357C"/>
    <w:rsid w:val="00933F42"/>
    <w:rsid w:val="00934830"/>
    <w:rsid w:val="00934B51"/>
    <w:rsid w:val="00935020"/>
    <w:rsid w:val="00935608"/>
    <w:rsid w:val="00935849"/>
    <w:rsid w:val="00935E15"/>
    <w:rsid w:val="00937327"/>
    <w:rsid w:val="00937894"/>
    <w:rsid w:val="009400B8"/>
    <w:rsid w:val="0094103D"/>
    <w:rsid w:val="009416EC"/>
    <w:rsid w:val="00942898"/>
    <w:rsid w:val="00942C1D"/>
    <w:rsid w:val="00943584"/>
    <w:rsid w:val="009435D1"/>
    <w:rsid w:val="0094399B"/>
    <w:rsid w:val="00943CD1"/>
    <w:rsid w:val="00944730"/>
    <w:rsid w:val="0094579A"/>
    <w:rsid w:val="00945C2E"/>
    <w:rsid w:val="0094610C"/>
    <w:rsid w:val="0094789E"/>
    <w:rsid w:val="00951106"/>
    <w:rsid w:val="009515A3"/>
    <w:rsid w:val="00951CAF"/>
    <w:rsid w:val="00951CDC"/>
    <w:rsid w:val="00952281"/>
    <w:rsid w:val="00953100"/>
    <w:rsid w:val="00953BA8"/>
    <w:rsid w:val="009544EF"/>
    <w:rsid w:val="0095465A"/>
    <w:rsid w:val="009551FC"/>
    <w:rsid w:val="00956B0D"/>
    <w:rsid w:val="00957030"/>
    <w:rsid w:val="0095752C"/>
    <w:rsid w:val="00957767"/>
    <w:rsid w:val="00957E02"/>
    <w:rsid w:val="00960745"/>
    <w:rsid w:val="00960C1A"/>
    <w:rsid w:val="00961675"/>
    <w:rsid w:val="009629FE"/>
    <w:rsid w:val="00965515"/>
    <w:rsid w:val="00965833"/>
    <w:rsid w:val="00966018"/>
    <w:rsid w:val="00967330"/>
    <w:rsid w:val="00970622"/>
    <w:rsid w:val="0097180C"/>
    <w:rsid w:val="00971AB0"/>
    <w:rsid w:val="0097331A"/>
    <w:rsid w:val="00976DC0"/>
    <w:rsid w:val="00977256"/>
    <w:rsid w:val="009773A5"/>
    <w:rsid w:val="00977794"/>
    <w:rsid w:val="0097783C"/>
    <w:rsid w:val="009801A2"/>
    <w:rsid w:val="00980313"/>
    <w:rsid w:val="00980393"/>
    <w:rsid w:val="009806EA"/>
    <w:rsid w:val="0098083C"/>
    <w:rsid w:val="0098174E"/>
    <w:rsid w:val="00982672"/>
    <w:rsid w:val="009855C9"/>
    <w:rsid w:val="00985A0B"/>
    <w:rsid w:val="009874D4"/>
    <w:rsid w:val="009879FE"/>
    <w:rsid w:val="0099012C"/>
    <w:rsid w:val="00990468"/>
    <w:rsid w:val="00992C57"/>
    <w:rsid w:val="0099368A"/>
    <w:rsid w:val="00993EFA"/>
    <w:rsid w:val="00994E62"/>
    <w:rsid w:val="009950E5"/>
    <w:rsid w:val="00995444"/>
    <w:rsid w:val="009955CE"/>
    <w:rsid w:val="009973E4"/>
    <w:rsid w:val="00997897"/>
    <w:rsid w:val="00997F86"/>
    <w:rsid w:val="009A173C"/>
    <w:rsid w:val="009A33E5"/>
    <w:rsid w:val="009A38A1"/>
    <w:rsid w:val="009A3DE1"/>
    <w:rsid w:val="009A3E59"/>
    <w:rsid w:val="009A4B54"/>
    <w:rsid w:val="009A4BD2"/>
    <w:rsid w:val="009A6527"/>
    <w:rsid w:val="009A7234"/>
    <w:rsid w:val="009B0874"/>
    <w:rsid w:val="009B16E3"/>
    <w:rsid w:val="009B188D"/>
    <w:rsid w:val="009B2BD4"/>
    <w:rsid w:val="009B3369"/>
    <w:rsid w:val="009B3737"/>
    <w:rsid w:val="009B37C2"/>
    <w:rsid w:val="009B4A2B"/>
    <w:rsid w:val="009B5578"/>
    <w:rsid w:val="009B5722"/>
    <w:rsid w:val="009B57A4"/>
    <w:rsid w:val="009B6C8B"/>
    <w:rsid w:val="009B7697"/>
    <w:rsid w:val="009C218C"/>
    <w:rsid w:val="009C2EF0"/>
    <w:rsid w:val="009C5720"/>
    <w:rsid w:val="009C5D8A"/>
    <w:rsid w:val="009D0385"/>
    <w:rsid w:val="009D0BB0"/>
    <w:rsid w:val="009D3081"/>
    <w:rsid w:val="009D5C85"/>
    <w:rsid w:val="009D6294"/>
    <w:rsid w:val="009D7B4D"/>
    <w:rsid w:val="009E025F"/>
    <w:rsid w:val="009E10A4"/>
    <w:rsid w:val="009E13CB"/>
    <w:rsid w:val="009E17BF"/>
    <w:rsid w:val="009E22D5"/>
    <w:rsid w:val="009E230B"/>
    <w:rsid w:val="009E2DA7"/>
    <w:rsid w:val="009E444F"/>
    <w:rsid w:val="009E4D07"/>
    <w:rsid w:val="009E59A7"/>
    <w:rsid w:val="009E69D8"/>
    <w:rsid w:val="009E6A1C"/>
    <w:rsid w:val="009E7684"/>
    <w:rsid w:val="009E7DD7"/>
    <w:rsid w:val="009F15CB"/>
    <w:rsid w:val="009F1EED"/>
    <w:rsid w:val="009F43B7"/>
    <w:rsid w:val="009F4AAC"/>
    <w:rsid w:val="009F5C1E"/>
    <w:rsid w:val="009F5E2B"/>
    <w:rsid w:val="009F5F33"/>
    <w:rsid w:val="009F73E3"/>
    <w:rsid w:val="00A02507"/>
    <w:rsid w:val="00A04CED"/>
    <w:rsid w:val="00A05A04"/>
    <w:rsid w:val="00A070C2"/>
    <w:rsid w:val="00A07B55"/>
    <w:rsid w:val="00A07C1C"/>
    <w:rsid w:val="00A07EAE"/>
    <w:rsid w:val="00A16558"/>
    <w:rsid w:val="00A16F64"/>
    <w:rsid w:val="00A17626"/>
    <w:rsid w:val="00A2016B"/>
    <w:rsid w:val="00A205D5"/>
    <w:rsid w:val="00A2181F"/>
    <w:rsid w:val="00A22A88"/>
    <w:rsid w:val="00A2653A"/>
    <w:rsid w:val="00A2696E"/>
    <w:rsid w:val="00A309CB"/>
    <w:rsid w:val="00A30BCF"/>
    <w:rsid w:val="00A3390F"/>
    <w:rsid w:val="00A3397D"/>
    <w:rsid w:val="00A341E6"/>
    <w:rsid w:val="00A34E65"/>
    <w:rsid w:val="00A352E8"/>
    <w:rsid w:val="00A35C00"/>
    <w:rsid w:val="00A370F8"/>
    <w:rsid w:val="00A37136"/>
    <w:rsid w:val="00A402FA"/>
    <w:rsid w:val="00A40BA9"/>
    <w:rsid w:val="00A41490"/>
    <w:rsid w:val="00A41755"/>
    <w:rsid w:val="00A418D5"/>
    <w:rsid w:val="00A42149"/>
    <w:rsid w:val="00A435B6"/>
    <w:rsid w:val="00A43DDE"/>
    <w:rsid w:val="00A457A0"/>
    <w:rsid w:val="00A469C7"/>
    <w:rsid w:val="00A5046B"/>
    <w:rsid w:val="00A5062B"/>
    <w:rsid w:val="00A5183F"/>
    <w:rsid w:val="00A51C89"/>
    <w:rsid w:val="00A5275E"/>
    <w:rsid w:val="00A52E22"/>
    <w:rsid w:val="00A53896"/>
    <w:rsid w:val="00A543BD"/>
    <w:rsid w:val="00A54CDD"/>
    <w:rsid w:val="00A577B1"/>
    <w:rsid w:val="00A57BBE"/>
    <w:rsid w:val="00A60566"/>
    <w:rsid w:val="00A6234A"/>
    <w:rsid w:val="00A625D4"/>
    <w:rsid w:val="00A626EF"/>
    <w:rsid w:val="00A62956"/>
    <w:rsid w:val="00A6378B"/>
    <w:rsid w:val="00A64D1B"/>
    <w:rsid w:val="00A653CF"/>
    <w:rsid w:val="00A6603A"/>
    <w:rsid w:val="00A6646A"/>
    <w:rsid w:val="00A66C3D"/>
    <w:rsid w:val="00A675DC"/>
    <w:rsid w:val="00A7042D"/>
    <w:rsid w:val="00A71FFC"/>
    <w:rsid w:val="00A72032"/>
    <w:rsid w:val="00A73307"/>
    <w:rsid w:val="00A7437C"/>
    <w:rsid w:val="00A74EA4"/>
    <w:rsid w:val="00A75DE4"/>
    <w:rsid w:val="00A76401"/>
    <w:rsid w:val="00A76449"/>
    <w:rsid w:val="00A76E2E"/>
    <w:rsid w:val="00A76F2B"/>
    <w:rsid w:val="00A77DC8"/>
    <w:rsid w:val="00A804F0"/>
    <w:rsid w:val="00A80C47"/>
    <w:rsid w:val="00A814A7"/>
    <w:rsid w:val="00A81D7A"/>
    <w:rsid w:val="00A83292"/>
    <w:rsid w:val="00A83CE8"/>
    <w:rsid w:val="00A83F05"/>
    <w:rsid w:val="00A85371"/>
    <w:rsid w:val="00A91FF6"/>
    <w:rsid w:val="00A920CF"/>
    <w:rsid w:val="00A92CAF"/>
    <w:rsid w:val="00A93904"/>
    <w:rsid w:val="00A9509F"/>
    <w:rsid w:val="00A9601D"/>
    <w:rsid w:val="00A96C4B"/>
    <w:rsid w:val="00A973C0"/>
    <w:rsid w:val="00AA02D4"/>
    <w:rsid w:val="00AA0406"/>
    <w:rsid w:val="00AA0B87"/>
    <w:rsid w:val="00AA1B73"/>
    <w:rsid w:val="00AA1C02"/>
    <w:rsid w:val="00AA2A39"/>
    <w:rsid w:val="00AA4740"/>
    <w:rsid w:val="00AA51B6"/>
    <w:rsid w:val="00AA5E4E"/>
    <w:rsid w:val="00AB0896"/>
    <w:rsid w:val="00AB1402"/>
    <w:rsid w:val="00AB1E16"/>
    <w:rsid w:val="00AB1FF4"/>
    <w:rsid w:val="00AB211A"/>
    <w:rsid w:val="00AB61F9"/>
    <w:rsid w:val="00AB65BD"/>
    <w:rsid w:val="00AC0826"/>
    <w:rsid w:val="00AC082A"/>
    <w:rsid w:val="00AC1043"/>
    <w:rsid w:val="00AC2143"/>
    <w:rsid w:val="00AC2EB2"/>
    <w:rsid w:val="00AC35E5"/>
    <w:rsid w:val="00AC363A"/>
    <w:rsid w:val="00AC494F"/>
    <w:rsid w:val="00AC4BBE"/>
    <w:rsid w:val="00AC4E43"/>
    <w:rsid w:val="00AC76C7"/>
    <w:rsid w:val="00AC7928"/>
    <w:rsid w:val="00AD0B04"/>
    <w:rsid w:val="00AD0D3D"/>
    <w:rsid w:val="00AD2D76"/>
    <w:rsid w:val="00AD302F"/>
    <w:rsid w:val="00AD3411"/>
    <w:rsid w:val="00AD4860"/>
    <w:rsid w:val="00AD4BD1"/>
    <w:rsid w:val="00AD4EF4"/>
    <w:rsid w:val="00AD5311"/>
    <w:rsid w:val="00AD56AD"/>
    <w:rsid w:val="00AD5E91"/>
    <w:rsid w:val="00AD6D86"/>
    <w:rsid w:val="00AD6F3D"/>
    <w:rsid w:val="00AE0813"/>
    <w:rsid w:val="00AE0D47"/>
    <w:rsid w:val="00AE1515"/>
    <w:rsid w:val="00AE2182"/>
    <w:rsid w:val="00AE23B0"/>
    <w:rsid w:val="00AE2AAA"/>
    <w:rsid w:val="00AE30CE"/>
    <w:rsid w:val="00AE3F9B"/>
    <w:rsid w:val="00AE4A57"/>
    <w:rsid w:val="00AE5942"/>
    <w:rsid w:val="00AE6080"/>
    <w:rsid w:val="00AE6596"/>
    <w:rsid w:val="00AE70F0"/>
    <w:rsid w:val="00AE77F3"/>
    <w:rsid w:val="00AE7F63"/>
    <w:rsid w:val="00AF0678"/>
    <w:rsid w:val="00AF0AFA"/>
    <w:rsid w:val="00AF24D4"/>
    <w:rsid w:val="00AF2989"/>
    <w:rsid w:val="00AF2A32"/>
    <w:rsid w:val="00AF310A"/>
    <w:rsid w:val="00AF313A"/>
    <w:rsid w:val="00AF4748"/>
    <w:rsid w:val="00AF52BD"/>
    <w:rsid w:val="00AF5FAE"/>
    <w:rsid w:val="00AF6ED9"/>
    <w:rsid w:val="00AF7EC1"/>
    <w:rsid w:val="00B014A5"/>
    <w:rsid w:val="00B01DF6"/>
    <w:rsid w:val="00B01E40"/>
    <w:rsid w:val="00B03095"/>
    <w:rsid w:val="00B03D12"/>
    <w:rsid w:val="00B051AE"/>
    <w:rsid w:val="00B05A8D"/>
    <w:rsid w:val="00B05C53"/>
    <w:rsid w:val="00B05D07"/>
    <w:rsid w:val="00B05E37"/>
    <w:rsid w:val="00B06702"/>
    <w:rsid w:val="00B06ABB"/>
    <w:rsid w:val="00B072C2"/>
    <w:rsid w:val="00B104CA"/>
    <w:rsid w:val="00B11047"/>
    <w:rsid w:val="00B111D7"/>
    <w:rsid w:val="00B1147D"/>
    <w:rsid w:val="00B117E6"/>
    <w:rsid w:val="00B1233C"/>
    <w:rsid w:val="00B12DEF"/>
    <w:rsid w:val="00B152D6"/>
    <w:rsid w:val="00B16BEB"/>
    <w:rsid w:val="00B16C92"/>
    <w:rsid w:val="00B1719D"/>
    <w:rsid w:val="00B171B9"/>
    <w:rsid w:val="00B17A05"/>
    <w:rsid w:val="00B20E1A"/>
    <w:rsid w:val="00B23359"/>
    <w:rsid w:val="00B254BD"/>
    <w:rsid w:val="00B25AF3"/>
    <w:rsid w:val="00B261C5"/>
    <w:rsid w:val="00B3000C"/>
    <w:rsid w:val="00B3203D"/>
    <w:rsid w:val="00B327BD"/>
    <w:rsid w:val="00B32A83"/>
    <w:rsid w:val="00B3394F"/>
    <w:rsid w:val="00B343FD"/>
    <w:rsid w:val="00B35C3F"/>
    <w:rsid w:val="00B36881"/>
    <w:rsid w:val="00B36D03"/>
    <w:rsid w:val="00B36DD6"/>
    <w:rsid w:val="00B40192"/>
    <w:rsid w:val="00B40EE6"/>
    <w:rsid w:val="00B412A8"/>
    <w:rsid w:val="00B424C6"/>
    <w:rsid w:val="00B43C9F"/>
    <w:rsid w:val="00B43E62"/>
    <w:rsid w:val="00B44138"/>
    <w:rsid w:val="00B445ED"/>
    <w:rsid w:val="00B45375"/>
    <w:rsid w:val="00B45C4F"/>
    <w:rsid w:val="00B46C65"/>
    <w:rsid w:val="00B46D6F"/>
    <w:rsid w:val="00B47C3A"/>
    <w:rsid w:val="00B5043A"/>
    <w:rsid w:val="00B507D8"/>
    <w:rsid w:val="00B51291"/>
    <w:rsid w:val="00B52326"/>
    <w:rsid w:val="00B6031D"/>
    <w:rsid w:val="00B60BA5"/>
    <w:rsid w:val="00B6254F"/>
    <w:rsid w:val="00B63BAC"/>
    <w:rsid w:val="00B64923"/>
    <w:rsid w:val="00B659BF"/>
    <w:rsid w:val="00B66140"/>
    <w:rsid w:val="00B70C33"/>
    <w:rsid w:val="00B71CB7"/>
    <w:rsid w:val="00B72C3B"/>
    <w:rsid w:val="00B731A1"/>
    <w:rsid w:val="00B7344A"/>
    <w:rsid w:val="00B76CEB"/>
    <w:rsid w:val="00B82334"/>
    <w:rsid w:val="00B846C8"/>
    <w:rsid w:val="00B849AF"/>
    <w:rsid w:val="00B84E06"/>
    <w:rsid w:val="00B85C5B"/>
    <w:rsid w:val="00B86477"/>
    <w:rsid w:val="00B905C1"/>
    <w:rsid w:val="00B91B59"/>
    <w:rsid w:val="00B9322F"/>
    <w:rsid w:val="00B9385F"/>
    <w:rsid w:val="00B93BBB"/>
    <w:rsid w:val="00B94352"/>
    <w:rsid w:val="00B9444E"/>
    <w:rsid w:val="00B94BCD"/>
    <w:rsid w:val="00B966EC"/>
    <w:rsid w:val="00B977C4"/>
    <w:rsid w:val="00B97B8E"/>
    <w:rsid w:val="00BA1AB5"/>
    <w:rsid w:val="00BA308A"/>
    <w:rsid w:val="00BA4345"/>
    <w:rsid w:val="00BA5BF0"/>
    <w:rsid w:val="00BA5D88"/>
    <w:rsid w:val="00BA6F56"/>
    <w:rsid w:val="00BB0721"/>
    <w:rsid w:val="00BB07B4"/>
    <w:rsid w:val="00BB2EEA"/>
    <w:rsid w:val="00BB3800"/>
    <w:rsid w:val="00BB43CE"/>
    <w:rsid w:val="00BB4436"/>
    <w:rsid w:val="00BB44F6"/>
    <w:rsid w:val="00BB6903"/>
    <w:rsid w:val="00BB6B2F"/>
    <w:rsid w:val="00BB6C1A"/>
    <w:rsid w:val="00BC18F1"/>
    <w:rsid w:val="00BC3E3B"/>
    <w:rsid w:val="00BC48CA"/>
    <w:rsid w:val="00BC4BC4"/>
    <w:rsid w:val="00BC4FC9"/>
    <w:rsid w:val="00BC62D9"/>
    <w:rsid w:val="00BC6A11"/>
    <w:rsid w:val="00BC6E5D"/>
    <w:rsid w:val="00BC6FAC"/>
    <w:rsid w:val="00BC7B9B"/>
    <w:rsid w:val="00BD10A6"/>
    <w:rsid w:val="00BD2568"/>
    <w:rsid w:val="00BD4582"/>
    <w:rsid w:val="00BD5C30"/>
    <w:rsid w:val="00BD75B0"/>
    <w:rsid w:val="00BD784B"/>
    <w:rsid w:val="00BE1201"/>
    <w:rsid w:val="00BE1534"/>
    <w:rsid w:val="00BE238D"/>
    <w:rsid w:val="00BE3023"/>
    <w:rsid w:val="00BE3EF4"/>
    <w:rsid w:val="00BE4DC6"/>
    <w:rsid w:val="00BE5BC5"/>
    <w:rsid w:val="00BE7B43"/>
    <w:rsid w:val="00BF0D0D"/>
    <w:rsid w:val="00BF111A"/>
    <w:rsid w:val="00BF1889"/>
    <w:rsid w:val="00BF254D"/>
    <w:rsid w:val="00BF3529"/>
    <w:rsid w:val="00BF3E89"/>
    <w:rsid w:val="00BF4E59"/>
    <w:rsid w:val="00BF6938"/>
    <w:rsid w:val="00BF7AD9"/>
    <w:rsid w:val="00BF7C3B"/>
    <w:rsid w:val="00C0052D"/>
    <w:rsid w:val="00C00E6E"/>
    <w:rsid w:val="00C01068"/>
    <w:rsid w:val="00C01099"/>
    <w:rsid w:val="00C029F4"/>
    <w:rsid w:val="00C03D8A"/>
    <w:rsid w:val="00C03ED6"/>
    <w:rsid w:val="00C04DB6"/>
    <w:rsid w:val="00C05841"/>
    <w:rsid w:val="00C05B6A"/>
    <w:rsid w:val="00C05E50"/>
    <w:rsid w:val="00C069A4"/>
    <w:rsid w:val="00C069C5"/>
    <w:rsid w:val="00C06EAA"/>
    <w:rsid w:val="00C07BD8"/>
    <w:rsid w:val="00C10F33"/>
    <w:rsid w:val="00C136F6"/>
    <w:rsid w:val="00C15CB2"/>
    <w:rsid w:val="00C16798"/>
    <w:rsid w:val="00C20227"/>
    <w:rsid w:val="00C20585"/>
    <w:rsid w:val="00C21FF9"/>
    <w:rsid w:val="00C22FD2"/>
    <w:rsid w:val="00C23E86"/>
    <w:rsid w:val="00C24ECD"/>
    <w:rsid w:val="00C25287"/>
    <w:rsid w:val="00C25A84"/>
    <w:rsid w:val="00C26881"/>
    <w:rsid w:val="00C273A9"/>
    <w:rsid w:val="00C30214"/>
    <w:rsid w:val="00C3026C"/>
    <w:rsid w:val="00C31744"/>
    <w:rsid w:val="00C31D5A"/>
    <w:rsid w:val="00C32259"/>
    <w:rsid w:val="00C336ED"/>
    <w:rsid w:val="00C3577E"/>
    <w:rsid w:val="00C35C42"/>
    <w:rsid w:val="00C37569"/>
    <w:rsid w:val="00C37D4B"/>
    <w:rsid w:val="00C37DED"/>
    <w:rsid w:val="00C4159A"/>
    <w:rsid w:val="00C44880"/>
    <w:rsid w:val="00C44D5C"/>
    <w:rsid w:val="00C45085"/>
    <w:rsid w:val="00C4682A"/>
    <w:rsid w:val="00C500C8"/>
    <w:rsid w:val="00C51D96"/>
    <w:rsid w:val="00C51E61"/>
    <w:rsid w:val="00C5205B"/>
    <w:rsid w:val="00C5278D"/>
    <w:rsid w:val="00C530B8"/>
    <w:rsid w:val="00C5344E"/>
    <w:rsid w:val="00C5425C"/>
    <w:rsid w:val="00C54829"/>
    <w:rsid w:val="00C60EAC"/>
    <w:rsid w:val="00C60F84"/>
    <w:rsid w:val="00C648C6"/>
    <w:rsid w:val="00C65B5F"/>
    <w:rsid w:val="00C660D7"/>
    <w:rsid w:val="00C66A7C"/>
    <w:rsid w:val="00C675B6"/>
    <w:rsid w:val="00C67BB6"/>
    <w:rsid w:val="00C700FF"/>
    <w:rsid w:val="00C70776"/>
    <w:rsid w:val="00C70F86"/>
    <w:rsid w:val="00C71263"/>
    <w:rsid w:val="00C71DDA"/>
    <w:rsid w:val="00C72495"/>
    <w:rsid w:val="00C730E6"/>
    <w:rsid w:val="00C74916"/>
    <w:rsid w:val="00C7537D"/>
    <w:rsid w:val="00C7541B"/>
    <w:rsid w:val="00C75FCA"/>
    <w:rsid w:val="00C77AC2"/>
    <w:rsid w:val="00C814AC"/>
    <w:rsid w:val="00C816DC"/>
    <w:rsid w:val="00C82F9C"/>
    <w:rsid w:val="00C844C2"/>
    <w:rsid w:val="00C84B78"/>
    <w:rsid w:val="00C852C3"/>
    <w:rsid w:val="00C85805"/>
    <w:rsid w:val="00C86574"/>
    <w:rsid w:val="00C868B7"/>
    <w:rsid w:val="00C86C0E"/>
    <w:rsid w:val="00C875D8"/>
    <w:rsid w:val="00C90F70"/>
    <w:rsid w:val="00C91975"/>
    <w:rsid w:val="00C939C3"/>
    <w:rsid w:val="00C948B9"/>
    <w:rsid w:val="00C956C4"/>
    <w:rsid w:val="00C958C5"/>
    <w:rsid w:val="00C95913"/>
    <w:rsid w:val="00C96051"/>
    <w:rsid w:val="00C96A5D"/>
    <w:rsid w:val="00C96AFE"/>
    <w:rsid w:val="00C97651"/>
    <w:rsid w:val="00CA13A0"/>
    <w:rsid w:val="00CA37A8"/>
    <w:rsid w:val="00CA3C5A"/>
    <w:rsid w:val="00CA3CC8"/>
    <w:rsid w:val="00CA3EC5"/>
    <w:rsid w:val="00CA4900"/>
    <w:rsid w:val="00CA4BFB"/>
    <w:rsid w:val="00CA6262"/>
    <w:rsid w:val="00CA6E07"/>
    <w:rsid w:val="00CB33C0"/>
    <w:rsid w:val="00CB5AD2"/>
    <w:rsid w:val="00CB7A96"/>
    <w:rsid w:val="00CC163F"/>
    <w:rsid w:val="00CC1F35"/>
    <w:rsid w:val="00CC2018"/>
    <w:rsid w:val="00CC2594"/>
    <w:rsid w:val="00CC3994"/>
    <w:rsid w:val="00CC4562"/>
    <w:rsid w:val="00CC5004"/>
    <w:rsid w:val="00CC6A2D"/>
    <w:rsid w:val="00CC6BCE"/>
    <w:rsid w:val="00CC7F1C"/>
    <w:rsid w:val="00CD046C"/>
    <w:rsid w:val="00CD2815"/>
    <w:rsid w:val="00CD2CC7"/>
    <w:rsid w:val="00CD3557"/>
    <w:rsid w:val="00CD538F"/>
    <w:rsid w:val="00CD783B"/>
    <w:rsid w:val="00CE178F"/>
    <w:rsid w:val="00CE1D16"/>
    <w:rsid w:val="00CE1ECB"/>
    <w:rsid w:val="00CE2634"/>
    <w:rsid w:val="00CE3D2D"/>
    <w:rsid w:val="00CE4AF6"/>
    <w:rsid w:val="00CE4B52"/>
    <w:rsid w:val="00CE565F"/>
    <w:rsid w:val="00CE785B"/>
    <w:rsid w:val="00CE78E2"/>
    <w:rsid w:val="00CF0DFA"/>
    <w:rsid w:val="00CF1F81"/>
    <w:rsid w:val="00CF28F5"/>
    <w:rsid w:val="00CF2DD0"/>
    <w:rsid w:val="00CF30CC"/>
    <w:rsid w:val="00CF3DA1"/>
    <w:rsid w:val="00CF4345"/>
    <w:rsid w:val="00CF4923"/>
    <w:rsid w:val="00CF5027"/>
    <w:rsid w:val="00CF7806"/>
    <w:rsid w:val="00D014F8"/>
    <w:rsid w:val="00D01D04"/>
    <w:rsid w:val="00D02767"/>
    <w:rsid w:val="00D028A3"/>
    <w:rsid w:val="00D02C48"/>
    <w:rsid w:val="00D03CAA"/>
    <w:rsid w:val="00D0746F"/>
    <w:rsid w:val="00D075C7"/>
    <w:rsid w:val="00D10C37"/>
    <w:rsid w:val="00D11D15"/>
    <w:rsid w:val="00D12629"/>
    <w:rsid w:val="00D12CF0"/>
    <w:rsid w:val="00D142D3"/>
    <w:rsid w:val="00D14AA8"/>
    <w:rsid w:val="00D15E97"/>
    <w:rsid w:val="00D16AE3"/>
    <w:rsid w:val="00D205BB"/>
    <w:rsid w:val="00D208D0"/>
    <w:rsid w:val="00D22735"/>
    <w:rsid w:val="00D248BB"/>
    <w:rsid w:val="00D25DB5"/>
    <w:rsid w:val="00D263CD"/>
    <w:rsid w:val="00D265C7"/>
    <w:rsid w:val="00D2755F"/>
    <w:rsid w:val="00D276F5"/>
    <w:rsid w:val="00D30C30"/>
    <w:rsid w:val="00D30D7D"/>
    <w:rsid w:val="00D314A9"/>
    <w:rsid w:val="00D31530"/>
    <w:rsid w:val="00D31D70"/>
    <w:rsid w:val="00D32573"/>
    <w:rsid w:val="00D333D8"/>
    <w:rsid w:val="00D33C51"/>
    <w:rsid w:val="00D346BE"/>
    <w:rsid w:val="00D36773"/>
    <w:rsid w:val="00D36EA7"/>
    <w:rsid w:val="00D40332"/>
    <w:rsid w:val="00D41FC9"/>
    <w:rsid w:val="00D43B9F"/>
    <w:rsid w:val="00D467BD"/>
    <w:rsid w:val="00D4768F"/>
    <w:rsid w:val="00D5137A"/>
    <w:rsid w:val="00D544FB"/>
    <w:rsid w:val="00D54D98"/>
    <w:rsid w:val="00D556E7"/>
    <w:rsid w:val="00D56EF3"/>
    <w:rsid w:val="00D57777"/>
    <w:rsid w:val="00D60770"/>
    <w:rsid w:val="00D62537"/>
    <w:rsid w:val="00D632D1"/>
    <w:rsid w:val="00D63447"/>
    <w:rsid w:val="00D634A6"/>
    <w:rsid w:val="00D640D7"/>
    <w:rsid w:val="00D64258"/>
    <w:rsid w:val="00D64F24"/>
    <w:rsid w:val="00D653AF"/>
    <w:rsid w:val="00D659BC"/>
    <w:rsid w:val="00D667BB"/>
    <w:rsid w:val="00D668EE"/>
    <w:rsid w:val="00D7046E"/>
    <w:rsid w:val="00D719C8"/>
    <w:rsid w:val="00D71A32"/>
    <w:rsid w:val="00D72764"/>
    <w:rsid w:val="00D72AE5"/>
    <w:rsid w:val="00D8266B"/>
    <w:rsid w:val="00D874E5"/>
    <w:rsid w:val="00D87FDB"/>
    <w:rsid w:val="00D9040D"/>
    <w:rsid w:val="00D92063"/>
    <w:rsid w:val="00D921B7"/>
    <w:rsid w:val="00D94E41"/>
    <w:rsid w:val="00D951A3"/>
    <w:rsid w:val="00D9688C"/>
    <w:rsid w:val="00D97E0D"/>
    <w:rsid w:val="00DA00EA"/>
    <w:rsid w:val="00DA055F"/>
    <w:rsid w:val="00DA08DF"/>
    <w:rsid w:val="00DA1F13"/>
    <w:rsid w:val="00DA2973"/>
    <w:rsid w:val="00DA2F23"/>
    <w:rsid w:val="00DA3862"/>
    <w:rsid w:val="00DA3A9B"/>
    <w:rsid w:val="00DA59CA"/>
    <w:rsid w:val="00DA767B"/>
    <w:rsid w:val="00DA7A86"/>
    <w:rsid w:val="00DB30C2"/>
    <w:rsid w:val="00DB7D79"/>
    <w:rsid w:val="00DC30B7"/>
    <w:rsid w:val="00DC3933"/>
    <w:rsid w:val="00DC4231"/>
    <w:rsid w:val="00DC4952"/>
    <w:rsid w:val="00DC6308"/>
    <w:rsid w:val="00DC6573"/>
    <w:rsid w:val="00DC7573"/>
    <w:rsid w:val="00DD04F6"/>
    <w:rsid w:val="00DD066C"/>
    <w:rsid w:val="00DD06A2"/>
    <w:rsid w:val="00DD0C2A"/>
    <w:rsid w:val="00DD13F5"/>
    <w:rsid w:val="00DD2F64"/>
    <w:rsid w:val="00DD3709"/>
    <w:rsid w:val="00DD39A3"/>
    <w:rsid w:val="00DD455D"/>
    <w:rsid w:val="00DD59D9"/>
    <w:rsid w:val="00DD5CAE"/>
    <w:rsid w:val="00DD7B1D"/>
    <w:rsid w:val="00DD7EBE"/>
    <w:rsid w:val="00DE05CC"/>
    <w:rsid w:val="00DE3D9F"/>
    <w:rsid w:val="00DE3FA7"/>
    <w:rsid w:val="00DE4BAD"/>
    <w:rsid w:val="00DE6E8A"/>
    <w:rsid w:val="00DE777A"/>
    <w:rsid w:val="00DE7FD8"/>
    <w:rsid w:val="00DF0D33"/>
    <w:rsid w:val="00DF2B0A"/>
    <w:rsid w:val="00DF2B20"/>
    <w:rsid w:val="00DF36DF"/>
    <w:rsid w:val="00DF7C53"/>
    <w:rsid w:val="00E0044B"/>
    <w:rsid w:val="00E009C4"/>
    <w:rsid w:val="00E00C24"/>
    <w:rsid w:val="00E0242B"/>
    <w:rsid w:val="00E028FE"/>
    <w:rsid w:val="00E036AE"/>
    <w:rsid w:val="00E039F4"/>
    <w:rsid w:val="00E041F7"/>
    <w:rsid w:val="00E04F13"/>
    <w:rsid w:val="00E0680D"/>
    <w:rsid w:val="00E06B51"/>
    <w:rsid w:val="00E0744D"/>
    <w:rsid w:val="00E1029E"/>
    <w:rsid w:val="00E11BD6"/>
    <w:rsid w:val="00E11DDB"/>
    <w:rsid w:val="00E11EA8"/>
    <w:rsid w:val="00E137E6"/>
    <w:rsid w:val="00E138A7"/>
    <w:rsid w:val="00E13E18"/>
    <w:rsid w:val="00E150DC"/>
    <w:rsid w:val="00E15EBC"/>
    <w:rsid w:val="00E16308"/>
    <w:rsid w:val="00E16D10"/>
    <w:rsid w:val="00E217D6"/>
    <w:rsid w:val="00E21AC0"/>
    <w:rsid w:val="00E21BFE"/>
    <w:rsid w:val="00E22232"/>
    <w:rsid w:val="00E224CD"/>
    <w:rsid w:val="00E23217"/>
    <w:rsid w:val="00E23582"/>
    <w:rsid w:val="00E23717"/>
    <w:rsid w:val="00E248D5"/>
    <w:rsid w:val="00E249B1"/>
    <w:rsid w:val="00E256D8"/>
    <w:rsid w:val="00E25C40"/>
    <w:rsid w:val="00E27416"/>
    <w:rsid w:val="00E27BA4"/>
    <w:rsid w:val="00E27EFB"/>
    <w:rsid w:val="00E30AD1"/>
    <w:rsid w:val="00E31760"/>
    <w:rsid w:val="00E322C5"/>
    <w:rsid w:val="00E328B7"/>
    <w:rsid w:val="00E32FC2"/>
    <w:rsid w:val="00E33B0A"/>
    <w:rsid w:val="00E3436F"/>
    <w:rsid w:val="00E35B03"/>
    <w:rsid w:val="00E36725"/>
    <w:rsid w:val="00E37407"/>
    <w:rsid w:val="00E378E8"/>
    <w:rsid w:val="00E40EF0"/>
    <w:rsid w:val="00E41A20"/>
    <w:rsid w:val="00E41D95"/>
    <w:rsid w:val="00E4213E"/>
    <w:rsid w:val="00E4299A"/>
    <w:rsid w:val="00E42D7B"/>
    <w:rsid w:val="00E438AF"/>
    <w:rsid w:val="00E43C9F"/>
    <w:rsid w:val="00E46976"/>
    <w:rsid w:val="00E50122"/>
    <w:rsid w:val="00E506BB"/>
    <w:rsid w:val="00E515F1"/>
    <w:rsid w:val="00E51ED0"/>
    <w:rsid w:val="00E526B8"/>
    <w:rsid w:val="00E530E6"/>
    <w:rsid w:val="00E53168"/>
    <w:rsid w:val="00E5446E"/>
    <w:rsid w:val="00E5470B"/>
    <w:rsid w:val="00E54BDC"/>
    <w:rsid w:val="00E56041"/>
    <w:rsid w:val="00E562AB"/>
    <w:rsid w:val="00E568CA"/>
    <w:rsid w:val="00E60758"/>
    <w:rsid w:val="00E62231"/>
    <w:rsid w:val="00E62DB6"/>
    <w:rsid w:val="00E64136"/>
    <w:rsid w:val="00E6419F"/>
    <w:rsid w:val="00E6427C"/>
    <w:rsid w:val="00E64658"/>
    <w:rsid w:val="00E64A42"/>
    <w:rsid w:val="00E64F06"/>
    <w:rsid w:val="00E65CF7"/>
    <w:rsid w:val="00E65E75"/>
    <w:rsid w:val="00E65FE2"/>
    <w:rsid w:val="00E6686F"/>
    <w:rsid w:val="00E70541"/>
    <w:rsid w:val="00E70665"/>
    <w:rsid w:val="00E7105F"/>
    <w:rsid w:val="00E71487"/>
    <w:rsid w:val="00E71CA6"/>
    <w:rsid w:val="00E7231B"/>
    <w:rsid w:val="00E73248"/>
    <w:rsid w:val="00E73BB9"/>
    <w:rsid w:val="00E74987"/>
    <w:rsid w:val="00E74DA1"/>
    <w:rsid w:val="00E760FC"/>
    <w:rsid w:val="00E76A45"/>
    <w:rsid w:val="00E80724"/>
    <w:rsid w:val="00E811AC"/>
    <w:rsid w:val="00E824B2"/>
    <w:rsid w:val="00E82A0A"/>
    <w:rsid w:val="00E834BF"/>
    <w:rsid w:val="00E83733"/>
    <w:rsid w:val="00E83919"/>
    <w:rsid w:val="00E8407F"/>
    <w:rsid w:val="00E84625"/>
    <w:rsid w:val="00E85197"/>
    <w:rsid w:val="00E866C8"/>
    <w:rsid w:val="00E876E9"/>
    <w:rsid w:val="00E87FA9"/>
    <w:rsid w:val="00E90F22"/>
    <w:rsid w:val="00E915F4"/>
    <w:rsid w:val="00E92A36"/>
    <w:rsid w:val="00E96605"/>
    <w:rsid w:val="00E972CD"/>
    <w:rsid w:val="00E9741E"/>
    <w:rsid w:val="00EA1B0D"/>
    <w:rsid w:val="00EA1E63"/>
    <w:rsid w:val="00EA2326"/>
    <w:rsid w:val="00EA28BE"/>
    <w:rsid w:val="00EA28E3"/>
    <w:rsid w:val="00EA45AB"/>
    <w:rsid w:val="00EA4650"/>
    <w:rsid w:val="00EA471A"/>
    <w:rsid w:val="00EA5A6C"/>
    <w:rsid w:val="00EA5FCF"/>
    <w:rsid w:val="00EA6932"/>
    <w:rsid w:val="00EA6E94"/>
    <w:rsid w:val="00EB0332"/>
    <w:rsid w:val="00EB123B"/>
    <w:rsid w:val="00EB22DC"/>
    <w:rsid w:val="00EB3305"/>
    <w:rsid w:val="00EB441E"/>
    <w:rsid w:val="00EB4899"/>
    <w:rsid w:val="00EB492C"/>
    <w:rsid w:val="00EB4AB1"/>
    <w:rsid w:val="00EB56B4"/>
    <w:rsid w:val="00EC010F"/>
    <w:rsid w:val="00EC13D2"/>
    <w:rsid w:val="00EC1D3A"/>
    <w:rsid w:val="00EC312C"/>
    <w:rsid w:val="00EC3A64"/>
    <w:rsid w:val="00EC42D1"/>
    <w:rsid w:val="00EC4637"/>
    <w:rsid w:val="00EC4C24"/>
    <w:rsid w:val="00EC646C"/>
    <w:rsid w:val="00EC7E3A"/>
    <w:rsid w:val="00EC7E86"/>
    <w:rsid w:val="00ED0AF2"/>
    <w:rsid w:val="00ED37AD"/>
    <w:rsid w:val="00ED61BC"/>
    <w:rsid w:val="00ED62BE"/>
    <w:rsid w:val="00ED6C7B"/>
    <w:rsid w:val="00ED74C5"/>
    <w:rsid w:val="00ED7A6E"/>
    <w:rsid w:val="00EE0DC8"/>
    <w:rsid w:val="00EE1686"/>
    <w:rsid w:val="00EE22EB"/>
    <w:rsid w:val="00EE29DA"/>
    <w:rsid w:val="00EE2F8C"/>
    <w:rsid w:val="00EE53AB"/>
    <w:rsid w:val="00EE58BB"/>
    <w:rsid w:val="00EE6063"/>
    <w:rsid w:val="00EF0BF1"/>
    <w:rsid w:val="00EF1ABF"/>
    <w:rsid w:val="00EF2091"/>
    <w:rsid w:val="00EF49FA"/>
    <w:rsid w:val="00EF642F"/>
    <w:rsid w:val="00EF6E50"/>
    <w:rsid w:val="00EF7A47"/>
    <w:rsid w:val="00F00B4B"/>
    <w:rsid w:val="00F0205E"/>
    <w:rsid w:val="00F0265B"/>
    <w:rsid w:val="00F03035"/>
    <w:rsid w:val="00F0356C"/>
    <w:rsid w:val="00F04BCD"/>
    <w:rsid w:val="00F0651D"/>
    <w:rsid w:val="00F0690E"/>
    <w:rsid w:val="00F06B6C"/>
    <w:rsid w:val="00F06F31"/>
    <w:rsid w:val="00F10DF3"/>
    <w:rsid w:val="00F120A3"/>
    <w:rsid w:val="00F13FD2"/>
    <w:rsid w:val="00F15A73"/>
    <w:rsid w:val="00F15BE0"/>
    <w:rsid w:val="00F1623C"/>
    <w:rsid w:val="00F1690F"/>
    <w:rsid w:val="00F171B8"/>
    <w:rsid w:val="00F176C1"/>
    <w:rsid w:val="00F17743"/>
    <w:rsid w:val="00F17B71"/>
    <w:rsid w:val="00F20044"/>
    <w:rsid w:val="00F213C5"/>
    <w:rsid w:val="00F214D8"/>
    <w:rsid w:val="00F21C5F"/>
    <w:rsid w:val="00F2249F"/>
    <w:rsid w:val="00F23D77"/>
    <w:rsid w:val="00F251B2"/>
    <w:rsid w:val="00F251FF"/>
    <w:rsid w:val="00F2625B"/>
    <w:rsid w:val="00F2758C"/>
    <w:rsid w:val="00F2773F"/>
    <w:rsid w:val="00F27CC5"/>
    <w:rsid w:val="00F27D63"/>
    <w:rsid w:val="00F34042"/>
    <w:rsid w:val="00F34079"/>
    <w:rsid w:val="00F3432D"/>
    <w:rsid w:val="00F3443E"/>
    <w:rsid w:val="00F34DB7"/>
    <w:rsid w:val="00F378C2"/>
    <w:rsid w:val="00F37D58"/>
    <w:rsid w:val="00F402F8"/>
    <w:rsid w:val="00F4047A"/>
    <w:rsid w:val="00F40EEE"/>
    <w:rsid w:val="00F41073"/>
    <w:rsid w:val="00F4186A"/>
    <w:rsid w:val="00F41DF0"/>
    <w:rsid w:val="00F41E71"/>
    <w:rsid w:val="00F41EC1"/>
    <w:rsid w:val="00F42937"/>
    <w:rsid w:val="00F42DAD"/>
    <w:rsid w:val="00F43110"/>
    <w:rsid w:val="00F44CCA"/>
    <w:rsid w:val="00F45A20"/>
    <w:rsid w:val="00F45C92"/>
    <w:rsid w:val="00F5056B"/>
    <w:rsid w:val="00F50D0B"/>
    <w:rsid w:val="00F50D3A"/>
    <w:rsid w:val="00F50ED0"/>
    <w:rsid w:val="00F511E8"/>
    <w:rsid w:val="00F51237"/>
    <w:rsid w:val="00F54272"/>
    <w:rsid w:val="00F55250"/>
    <w:rsid w:val="00F55CB7"/>
    <w:rsid w:val="00F55DF4"/>
    <w:rsid w:val="00F571CE"/>
    <w:rsid w:val="00F575D5"/>
    <w:rsid w:val="00F578B2"/>
    <w:rsid w:val="00F60150"/>
    <w:rsid w:val="00F611F9"/>
    <w:rsid w:val="00F6137F"/>
    <w:rsid w:val="00F62573"/>
    <w:rsid w:val="00F63690"/>
    <w:rsid w:val="00F64AE8"/>
    <w:rsid w:val="00F65097"/>
    <w:rsid w:val="00F65709"/>
    <w:rsid w:val="00F6584A"/>
    <w:rsid w:val="00F662BA"/>
    <w:rsid w:val="00F670B1"/>
    <w:rsid w:val="00F6733B"/>
    <w:rsid w:val="00F73B65"/>
    <w:rsid w:val="00F74163"/>
    <w:rsid w:val="00F751EC"/>
    <w:rsid w:val="00F75CC0"/>
    <w:rsid w:val="00F7642F"/>
    <w:rsid w:val="00F77330"/>
    <w:rsid w:val="00F77FE5"/>
    <w:rsid w:val="00F815CF"/>
    <w:rsid w:val="00F81838"/>
    <w:rsid w:val="00F819AF"/>
    <w:rsid w:val="00F82E31"/>
    <w:rsid w:val="00F8409B"/>
    <w:rsid w:val="00F841C3"/>
    <w:rsid w:val="00F84B25"/>
    <w:rsid w:val="00F84EDA"/>
    <w:rsid w:val="00F85501"/>
    <w:rsid w:val="00F85F69"/>
    <w:rsid w:val="00F866D5"/>
    <w:rsid w:val="00F92605"/>
    <w:rsid w:val="00F92B61"/>
    <w:rsid w:val="00F92D54"/>
    <w:rsid w:val="00F938C9"/>
    <w:rsid w:val="00F9585A"/>
    <w:rsid w:val="00F95B70"/>
    <w:rsid w:val="00FA0708"/>
    <w:rsid w:val="00FA08A4"/>
    <w:rsid w:val="00FA12FA"/>
    <w:rsid w:val="00FA14AB"/>
    <w:rsid w:val="00FA1924"/>
    <w:rsid w:val="00FA1928"/>
    <w:rsid w:val="00FA27A9"/>
    <w:rsid w:val="00FA3112"/>
    <w:rsid w:val="00FA3F9B"/>
    <w:rsid w:val="00FA4FDC"/>
    <w:rsid w:val="00FA50B4"/>
    <w:rsid w:val="00FA7ED2"/>
    <w:rsid w:val="00FB0059"/>
    <w:rsid w:val="00FB0F98"/>
    <w:rsid w:val="00FB0FEC"/>
    <w:rsid w:val="00FB2207"/>
    <w:rsid w:val="00FB343C"/>
    <w:rsid w:val="00FB3708"/>
    <w:rsid w:val="00FB561A"/>
    <w:rsid w:val="00FB58CB"/>
    <w:rsid w:val="00FB5B6F"/>
    <w:rsid w:val="00FB6048"/>
    <w:rsid w:val="00FB64A2"/>
    <w:rsid w:val="00FB7C52"/>
    <w:rsid w:val="00FC0BD0"/>
    <w:rsid w:val="00FC151D"/>
    <w:rsid w:val="00FC15FE"/>
    <w:rsid w:val="00FC3506"/>
    <w:rsid w:val="00FC45FB"/>
    <w:rsid w:val="00FC4AF6"/>
    <w:rsid w:val="00FC4BDD"/>
    <w:rsid w:val="00FC4DAB"/>
    <w:rsid w:val="00FC5B78"/>
    <w:rsid w:val="00FC5E7E"/>
    <w:rsid w:val="00FC6B04"/>
    <w:rsid w:val="00FC73B9"/>
    <w:rsid w:val="00FD0171"/>
    <w:rsid w:val="00FD06E3"/>
    <w:rsid w:val="00FD138D"/>
    <w:rsid w:val="00FD2434"/>
    <w:rsid w:val="00FD2F6C"/>
    <w:rsid w:val="00FD33FA"/>
    <w:rsid w:val="00FD3AF7"/>
    <w:rsid w:val="00FD50F9"/>
    <w:rsid w:val="00FD5B70"/>
    <w:rsid w:val="00FD5DC0"/>
    <w:rsid w:val="00FD73AE"/>
    <w:rsid w:val="00FE1EA7"/>
    <w:rsid w:val="00FE22A3"/>
    <w:rsid w:val="00FE2A09"/>
    <w:rsid w:val="00FE4843"/>
    <w:rsid w:val="00FE5DF6"/>
    <w:rsid w:val="00FE6AAE"/>
    <w:rsid w:val="00FF101F"/>
    <w:rsid w:val="00FF214E"/>
    <w:rsid w:val="00FF2291"/>
    <w:rsid w:val="00FF2EAA"/>
    <w:rsid w:val="00FF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0BE5"/>
  <w15:docId w15:val="{8065154F-6443-407B-BF6E-DCEE93D4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5864"/>
    <w:pPr>
      <w:spacing w:line="360" w:lineRule="auto"/>
      <w:jc w:val="both"/>
    </w:pPr>
    <w:rPr>
      <w:rFonts w:ascii="Times New Roman" w:eastAsia="Calibri" w:hAnsi="Times New Roman" w:cs="Times New Roman"/>
      <w:sz w:val="24"/>
    </w:rPr>
  </w:style>
  <w:style w:type="paragraph" w:styleId="berschrift1">
    <w:name w:val="heading 1"/>
    <w:basedOn w:val="Standard"/>
    <w:next w:val="Standard"/>
    <w:link w:val="berschrift1Zchn"/>
    <w:uiPriority w:val="9"/>
    <w:qFormat/>
    <w:rsid w:val="00F81838"/>
    <w:pPr>
      <w:keepNext/>
      <w:numPr>
        <w:numId w:val="4"/>
      </w:numPr>
      <w:spacing w:before="240" w:after="60"/>
      <w:outlineLvl w:val="0"/>
    </w:pPr>
    <w:rPr>
      <w:rFonts w:eastAsia="MS Gothic" w:cs="Cambria"/>
      <w:b/>
      <w:bCs/>
      <w:sz w:val="28"/>
      <w:szCs w:val="32"/>
    </w:rPr>
  </w:style>
  <w:style w:type="paragraph" w:styleId="berschrift2">
    <w:name w:val="heading 2"/>
    <w:basedOn w:val="Standard"/>
    <w:next w:val="Standard"/>
    <w:link w:val="berschrift2Zchn"/>
    <w:uiPriority w:val="9"/>
    <w:unhideWhenUsed/>
    <w:qFormat/>
    <w:rsid w:val="00F81838"/>
    <w:pPr>
      <w:keepNext/>
      <w:keepLines/>
      <w:numPr>
        <w:ilvl w:val="1"/>
        <w:numId w:val="4"/>
      </w:numPr>
      <w:spacing w:before="200" w:after="0"/>
      <w:outlineLvl w:val="1"/>
    </w:pPr>
    <w:rPr>
      <w:rFonts w:eastAsia="MS Gothic" w:cs="Cambria"/>
      <w:b/>
      <w:bCs/>
      <w:szCs w:val="26"/>
    </w:rPr>
  </w:style>
  <w:style w:type="paragraph" w:styleId="berschrift3">
    <w:name w:val="heading 3"/>
    <w:basedOn w:val="Standard"/>
    <w:next w:val="Standard"/>
    <w:link w:val="berschrift3Zchn"/>
    <w:uiPriority w:val="9"/>
    <w:unhideWhenUsed/>
    <w:qFormat/>
    <w:rsid w:val="00F81838"/>
    <w:pPr>
      <w:keepNext/>
      <w:keepLines/>
      <w:numPr>
        <w:ilvl w:val="2"/>
        <w:numId w:val="4"/>
      </w:numPr>
      <w:spacing w:before="200" w:after="0"/>
      <w:outlineLvl w:val="2"/>
    </w:pPr>
    <w:rPr>
      <w:rFonts w:eastAsia="MS Gothic" w:cs="Cambria"/>
      <w:b/>
      <w:bCs/>
    </w:rPr>
  </w:style>
  <w:style w:type="paragraph" w:styleId="berschrift4">
    <w:name w:val="heading 4"/>
    <w:basedOn w:val="Standard"/>
    <w:next w:val="Standard"/>
    <w:link w:val="berschrift4Zchn"/>
    <w:uiPriority w:val="9"/>
    <w:semiHidden/>
    <w:unhideWhenUsed/>
    <w:qFormat/>
    <w:rsid w:val="00F81838"/>
    <w:pPr>
      <w:keepNext/>
      <w:keepLines/>
      <w:numPr>
        <w:ilvl w:val="3"/>
        <w:numId w:val="4"/>
      </w:numPr>
      <w:spacing w:before="200" w:after="0"/>
      <w:outlineLvl w:val="3"/>
    </w:pPr>
    <w:rPr>
      <w:rFonts w:ascii="Cambria" w:eastAsia="MS Gothic" w:hAnsi="Cambria" w:cs="Cambria"/>
      <w:b/>
      <w:bCs/>
      <w:i/>
      <w:iCs/>
      <w:color w:val="4F81BD"/>
    </w:rPr>
  </w:style>
  <w:style w:type="paragraph" w:styleId="berschrift5">
    <w:name w:val="heading 5"/>
    <w:basedOn w:val="Standard"/>
    <w:next w:val="Standard"/>
    <w:link w:val="berschrift5Zchn"/>
    <w:uiPriority w:val="9"/>
    <w:semiHidden/>
    <w:unhideWhenUsed/>
    <w:qFormat/>
    <w:rsid w:val="00F81838"/>
    <w:pPr>
      <w:keepNext/>
      <w:keepLines/>
      <w:numPr>
        <w:ilvl w:val="4"/>
        <w:numId w:val="4"/>
      </w:numPr>
      <w:spacing w:before="200" w:after="0"/>
      <w:outlineLvl w:val="4"/>
    </w:pPr>
    <w:rPr>
      <w:rFonts w:ascii="Cambria" w:eastAsia="MS Gothic" w:hAnsi="Cambria" w:cs="Cambria"/>
      <w:color w:val="243F60"/>
    </w:rPr>
  </w:style>
  <w:style w:type="paragraph" w:styleId="berschrift6">
    <w:name w:val="heading 6"/>
    <w:basedOn w:val="Standard"/>
    <w:next w:val="Standard"/>
    <w:link w:val="berschrift6Zchn"/>
    <w:uiPriority w:val="9"/>
    <w:semiHidden/>
    <w:unhideWhenUsed/>
    <w:qFormat/>
    <w:rsid w:val="00F81838"/>
    <w:pPr>
      <w:keepNext/>
      <w:keepLines/>
      <w:numPr>
        <w:ilvl w:val="5"/>
        <w:numId w:val="4"/>
      </w:numPr>
      <w:spacing w:before="200" w:after="0"/>
      <w:outlineLvl w:val="5"/>
    </w:pPr>
    <w:rPr>
      <w:rFonts w:ascii="Cambria" w:eastAsia="MS Gothic" w:hAnsi="Cambria" w:cs="Cambria"/>
      <w:i/>
      <w:iCs/>
      <w:color w:val="243F60"/>
    </w:rPr>
  </w:style>
  <w:style w:type="paragraph" w:styleId="berschrift7">
    <w:name w:val="heading 7"/>
    <w:basedOn w:val="Standard"/>
    <w:next w:val="Standard"/>
    <w:link w:val="berschrift7Zchn"/>
    <w:uiPriority w:val="9"/>
    <w:semiHidden/>
    <w:unhideWhenUsed/>
    <w:qFormat/>
    <w:rsid w:val="00F81838"/>
    <w:pPr>
      <w:keepNext/>
      <w:keepLines/>
      <w:numPr>
        <w:ilvl w:val="6"/>
        <w:numId w:val="4"/>
      </w:numPr>
      <w:spacing w:before="200" w:after="0"/>
      <w:outlineLvl w:val="6"/>
    </w:pPr>
    <w:rPr>
      <w:rFonts w:ascii="Cambria" w:eastAsia="MS Gothic" w:hAnsi="Cambria" w:cs="Cambria"/>
      <w:i/>
      <w:iCs/>
      <w:color w:val="404040"/>
    </w:rPr>
  </w:style>
  <w:style w:type="paragraph" w:styleId="berschrift8">
    <w:name w:val="heading 8"/>
    <w:basedOn w:val="Standard"/>
    <w:next w:val="Standard"/>
    <w:link w:val="berschrift8Zchn"/>
    <w:uiPriority w:val="9"/>
    <w:semiHidden/>
    <w:unhideWhenUsed/>
    <w:qFormat/>
    <w:rsid w:val="00F81838"/>
    <w:pPr>
      <w:keepNext/>
      <w:keepLines/>
      <w:numPr>
        <w:ilvl w:val="7"/>
        <w:numId w:val="4"/>
      </w:numPr>
      <w:spacing w:before="200" w:after="0"/>
      <w:outlineLvl w:val="7"/>
    </w:pPr>
    <w:rPr>
      <w:rFonts w:ascii="Cambria" w:eastAsia="MS Gothic" w:hAnsi="Cambria" w:cs="Cambria"/>
      <w:color w:val="404040"/>
      <w:sz w:val="20"/>
      <w:szCs w:val="20"/>
    </w:rPr>
  </w:style>
  <w:style w:type="paragraph" w:styleId="berschrift9">
    <w:name w:val="heading 9"/>
    <w:basedOn w:val="Standard"/>
    <w:next w:val="Standard"/>
    <w:link w:val="berschrift9Zchn"/>
    <w:uiPriority w:val="9"/>
    <w:semiHidden/>
    <w:unhideWhenUsed/>
    <w:qFormat/>
    <w:rsid w:val="00F81838"/>
    <w:pPr>
      <w:keepNext/>
      <w:keepLines/>
      <w:numPr>
        <w:ilvl w:val="8"/>
        <w:numId w:val="4"/>
      </w:numPr>
      <w:spacing w:before="200" w:after="0"/>
      <w:outlineLvl w:val="8"/>
    </w:pPr>
    <w:rPr>
      <w:rFonts w:ascii="Cambria" w:eastAsia="MS Gothic" w:hAnsi="Cambria" w:cs="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qFormat/>
    <w:rsid w:val="00245864"/>
    <w:rPr>
      <w:sz w:val="16"/>
      <w:szCs w:val="16"/>
    </w:rPr>
  </w:style>
  <w:style w:type="character" w:customStyle="1" w:styleId="KommentartextZchn">
    <w:name w:val="Kommentartext Zchn"/>
    <w:link w:val="Kommentartext"/>
    <w:uiPriority w:val="99"/>
    <w:qFormat/>
    <w:rsid w:val="00245864"/>
    <w:rPr>
      <w:rFonts w:ascii="Times New Roman" w:hAnsi="Times New Roman"/>
    </w:rPr>
  </w:style>
  <w:style w:type="character" w:customStyle="1" w:styleId="FunotentextZchn">
    <w:name w:val="Fußnotentext Zchn"/>
    <w:link w:val="Funotentext"/>
    <w:uiPriority w:val="99"/>
    <w:semiHidden/>
    <w:qFormat/>
    <w:rsid w:val="00245864"/>
    <w:rPr>
      <w:rFonts w:ascii="Times New Roman" w:hAnsi="Times New Roman"/>
    </w:rPr>
  </w:style>
  <w:style w:type="character" w:styleId="Funotenzeichen">
    <w:name w:val="footnote reference"/>
    <w:uiPriority w:val="99"/>
    <w:semiHidden/>
    <w:unhideWhenUsed/>
    <w:qFormat/>
    <w:rsid w:val="00245864"/>
    <w:rPr>
      <w:vertAlign w:val="superscript"/>
    </w:rPr>
  </w:style>
  <w:style w:type="paragraph" w:styleId="Kommentartext">
    <w:name w:val="annotation text"/>
    <w:basedOn w:val="Standard"/>
    <w:link w:val="KommentartextZchn"/>
    <w:uiPriority w:val="99"/>
    <w:unhideWhenUsed/>
    <w:qFormat/>
    <w:rsid w:val="00245864"/>
    <w:pPr>
      <w:spacing w:line="240" w:lineRule="auto"/>
    </w:pPr>
    <w:rPr>
      <w:rFonts w:eastAsiaTheme="minorHAnsi" w:cstheme="minorBidi"/>
      <w:sz w:val="22"/>
    </w:rPr>
  </w:style>
  <w:style w:type="character" w:customStyle="1" w:styleId="KommentartextZchn1">
    <w:name w:val="Kommentartext Zchn1"/>
    <w:basedOn w:val="Absatz-Standardschriftart"/>
    <w:uiPriority w:val="99"/>
    <w:semiHidden/>
    <w:rsid w:val="00245864"/>
    <w:rPr>
      <w:rFonts w:ascii="Times New Roman" w:eastAsia="Calibri" w:hAnsi="Times New Roman" w:cs="Times New Roman"/>
      <w:sz w:val="20"/>
      <w:szCs w:val="20"/>
    </w:rPr>
  </w:style>
  <w:style w:type="paragraph" w:styleId="Funotentext">
    <w:name w:val="footnote text"/>
    <w:basedOn w:val="Standard"/>
    <w:link w:val="FunotentextZchn"/>
    <w:uiPriority w:val="99"/>
    <w:semiHidden/>
    <w:unhideWhenUsed/>
    <w:qFormat/>
    <w:rsid w:val="00245864"/>
    <w:pPr>
      <w:spacing w:after="0" w:line="240" w:lineRule="auto"/>
    </w:pPr>
    <w:rPr>
      <w:rFonts w:eastAsiaTheme="minorHAnsi" w:cstheme="minorBidi"/>
      <w:sz w:val="22"/>
    </w:rPr>
  </w:style>
  <w:style w:type="character" w:customStyle="1" w:styleId="FunotentextZchn1">
    <w:name w:val="Fußnotentext Zchn1"/>
    <w:basedOn w:val="Absatz-Standardschriftart"/>
    <w:uiPriority w:val="99"/>
    <w:semiHidden/>
    <w:rsid w:val="00245864"/>
    <w:rPr>
      <w:rFonts w:ascii="Times New Roman" w:eastAsia="Calibri" w:hAnsi="Times New Roman" w:cs="Times New Roman"/>
      <w:sz w:val="20"/>
      <w:szCs w:val="20"/>
    </w:rPr>
  </w:style>
  <w:style w:type="character" w:styleId="Hyperlink">
    <w:name w:val="Hyperlink"/>
    <w:uiPriority w:val="99"/>
    <w:unhideWhenUsed/>
    <w:rsid w:val="00245864"/>
    <w:rPr>
      <w:color w:val="0000FF"/>
      <w:u w:val="single"/>
    </w:rPr>
  </w:style>
  <w:style w:type="paragraph" w:styleId="Sprechblasentext">
    <w:name w:val="Balloon Text"/>
    <w:basedOn w:val="Standard"/>
    <w:link w:val="SprechblasentextZchn"/>
    <w:uiPriority w:val="99"/>
    <w:semiHidden/>
    <w:unhideWhenUsed/>
    <w:qFormat/>
    <w:rsid w:val="002458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sid w:val="00245864"/>
    <w:rPr>
      <w:rFonts w:ascii="Tahoma" w:eastAsia="Calibri" w:hAnsi="Tahoma" w:cs="Tahoma"/>
      <w:sz w:val="16"/>
      <w:szCs w:val="16"/>
    </w:rPr>
  </w:style>
  <w:style w:type="paragraph" w:styleId="Kopfzeile">
    <w:name w:val="header"/>
    <w:basedOn w:val="Standard"/>
    <w:link w:val="KopfzeileZchn"/>
    <w:uiPriority w:val="99"/>
    <w:unhideWhenUsed/>
    <w:rsid w:val="00561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561C16"/>
    <w:rPr>
      <w:rFonts w:ascii="Times New Roman" w:eastAsia="Calibri" w:hAnsi="Times New Roman" w:cs="Times New Roman"/>
      <w:sz w:val="24"/>
    </w:rPr>
  </w:style>
  <w:style w:type="paragraph" w:styleId="Fuzeile">
    <w:name w:val="footer"/>
    <w:basedOn w:val="Standard"/>
    <w:link w:val="FuzeileZchn"/>
    <w:uiPriority w:val="99"/>
    <w:unhideWhenUsed/>
    <w:rsid w:val="00561C16"/>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561C16"/>
    <w:rPr>
      <w:rFonts w:ascii="Times New Roman" w:eastAsia="Calibri" w:hAnsi="Times New Roman" w:cs="Times New Roman"/>
      <w:sz w:val="24"/>
    </w:rPr>
  </w:style>
  <w:style w:type="paragraph" w:styleId="Listenabsatz">
    <w:name w:val="List Paragraph"/>
    <w:basedOn w:val="Standard"/>
    <w:uiPriority w:val="34"/>
    <w:qFormat/>
    <w:rsid w:val="009874D4"/>
    <w:pPr>
      <w:ind w:left="720"/>
      <w:contextualSpacing/>
    </w:pPr>
  </w:style>
  <w:style w:type="character" w:customStyle="1" w:styleId="berschrift1Zchn">
    <w:name w:val="Überschrift 1 Zchn"/>
    <w:basedOn w:val="Absatz-Standardschriftart"/>
    <w:link w:val="berschrift1"/>
    <w:uiPriority w:val="9"/>
    <w:qFormat/>
    <w:rsid w:val="00F81838"/>
    <w:rPr>
      <w:rFonts w:ascii="Times New Roman" w:eastAsia="MS Gothic" w:hAnsi="Times New Roman" w:cs="Cambria"/>
      <w:b/>
      <w:bCs/>
      <w:sz w:val="28"/>
      <w:szCs w:val="32"/>
    </w:rPr>
  </w:style>
  <w:style w:type="character" w:customStyle="1" w:styleId="berschrift2Zchn">
    <w:name w:val="Überschrift 2 Zchn"/>
    <w:basedOn w:val="Absatz-Standardschriftart"/>
    <w:link w:val="berschrift2"/>
    <w:uiPriority w:val="9"/>
    <w:qFormat/>
    <w:rsid w:val="00F81838"/>
    <w:rPr>
      <w:rFonts w:ascii="Times New Roman" w:eastAsia="MS Gothic" w:hAnsi="Times New Roman" w:cs="Cambria"/>
      <w:b/>
      <w:bCs/>
      <w:sz w:val="24"/>
      <w:szCs w:val="26"/>
    </w:rPr>
  </w:style>
  <w:style w:type="character" w:customStyle="1" w:styleId="berschrift3Zchn">
    <w:name w:val="Überschrift 3 Zchn"/>
    <w:basedOn w:val="Absatz-Standardschriftart"/>
    <w:link w:val="berschrift3"/>
    <w:uiPriority w:val="9"/>
    <w:qFormat/>
    <w:rsid w:val="00F81838"/>
    <w:rPr>
      <w:rFonts w:ascii="Times New Roman" w:eastAsia="MS Gothic" w:hAnsi="Times New Roman" w:cs="Cambria"/>
      <w:b/>
      <w:bCs/>
      <w:sz w:val="24"/>
    </w:rPr>
  </w:style>
  <w:style w:type="character" w:customStyle="1" w:styleId="berschrift4Zchn">
    <w:name w:val="Überschrift 4 Zchn"/>
    <w:basedOn w:val="Absatz-Standardschriftart"/>
    <w:link w:val="berschrift4"/>
    <w:uiPriority w:val="9"/>
    <w:semiHidden/>
    <w:qFormat/>
    <w:rsid w:val="00F81838"/>
    <w:rPr>
      <w:rFonts w:ascii="Cambria" w:eastAsia="MS Gothic" w:hAnsi="Cambria" w:cs="Cambria"/>
      <w:b/>
      <w:bCs/>
      <w:i/>
      <w:iCs/>
      <w:color w:val="4F81BD"/>
      <w:sz w:val="24"/>
    </w:rPr>
  </w:style>
  <w:style w:type="character" w:customStyle="1" w:styleId="berschrift5Zchn">
    <w:name w:val="Überschrift 5 Zchn"/>
    <w:basedOn w:val="Absatz-Standardschriftart"/>
    <w:link w:val="berschrift5"/>
    <w:uiPriority w:val="9"/>
    <w:semiHidden/>
    <w:qFormat/>
    <w:rsid w:val="00F81838"/>
    <w:rPr>
      <w:rFonts w:ascii="Cambria" w:eastAsia="MS Gothic" w:hAnsi="Cambria" w:cs="Cambria"/>
      <w:color w:val="243F60"/>
      <w:sz w:val="24"/>
    </w:rPr>
  </w:style>
  <w:style w:type="character" w:customStyle="1" w:styleId="berschrift6Zchn">
    <w:name w:val="Überschrift 6 Zchn"/>
    <w:basedOn w:val="Absatz-Standardschriftart"/>
    <w:link w:val="berschrift6"/>
    <w:uiPriority w:val="9"/>
    <w:semiHidden/>
    <w:qFormat/>
    <w:rsid w:val="00F81838"/>
    <w:rPr>
      <w:rFonts w:ascii="Cambria" w:eastAsia="MS Gothic" w:hAnsi="Cambria" w:cs="Cambria"/>
      <w:i/>
      <w:iCs/>
      <w:color w:val="243F60"/>
      <w:sz w:val="24"/>
    </w:rPr>
  </w:style>
  <w:style w:type="character" w:customStyle="1" w:styleId="berschrift7Zchn">
    <w:name w:val="Überschrift 7 Zchn"/>
    <w:basedOn w:val="Absatz-Standardschriftart"/>
    <w:link w:val="berschrift7"/>
    <w:uiPriority w:val="9"/>
    <w:semiHidden/>
    <w:qFormat/>
    <w:rsid w:val="00F81838"/>
    <w:rPr>
      <w:rFonts w:ascii="Cambria" w:eastAsia="MS Gothic" w:hAnsi="Cambria" w:cs="Cambria"/>
      <w:i/>
      <w:iCs/>
      <w:color w:val="404040"/>
      <w:sz w:val="24"/>
    </w:rPr>
  </w:style>
  <w:style w:type="character" w:customStyle="1" w:styleId="berschrift8Zchn">
    <w:name w:val="Überschrift 8 Zchn"/>
    <w:basedOn w:val="Absatz-Standardschriftart"/>
    <w:link w:val="berschrift8"/>
    <w:uiPriority w:val="9"/>
    <w:semiHidden/>
    <w:qFormat/>
    <w:rsid w:val="00F81838"/>
    <w:rPr>
      <w:rFonts w:ascii="Cambria" w:eastAsia="MS Gothic" w:hAnsi="Cambria" w:cs="Cambria"/>
      <w:color w:val="404040"/>
      <w:sz w:val="20"/>
      <w:szCs w:val="20"/>
    </w:rPr>
  </w:style>
  <w:style w:type="character" w:customStyle="1" w:styleId="berschrift9Zchn">
    <w:name w:val="Überschrift 9 Zchn"/>
    <w:basedOn w:val="Absatz-Standardschriftart"/>
    <w:link w:val="berschrift9"/>
    <w:uiPriority w:val="9"/>
    <w:semiHidden/>
    <w:qFormat/>
    <w:rsid w:val="00F81838"/>
    <w:rPr>
      <w:rFonts w:ascii="Cambria" w:eastAsia="MS Gothic" w:hAnsi="Cambria" w:cs="Cambria"/>
      <w:i/>
      <w:iCs/>
      <w:color w:val="404040"/>
      <w:sz w:val="20"/>
      <w:szCs w:val="20"/>
    </w:rPr>
  </w:style>
  <w:style w:type="character" w:customStyle="1" w:styleId="TitelZchn">
    <w:name w:val="Titel Zchn"/>
    <w:link w:val="Titel"/>
    <w:uiPriority w:val="99"/>
    <w:qFormat/>
    <w:rsid w:val="00F81838"/>
    <w:rPr>
      <w:rFonts w:ascii="Times New Roman" w:eastAsia="MS Gothic" w:hAnsi="Times New Roman" w:cs="Cambria"/>
      <w:b/>
      <w:bCs/>
      <w:sz w:val="28"/>
      <w:szCs w:val="32"/>
    </w:rPr>
  </w:style>
  <w:style w:type="character" w:styleId="Seitenzahl">
    <w:name w:val="page number"/>
    <w:uiPriority w:val="99"/>
    <w:qFormat/>
    <w:rsid w:val="00F81838"/>
    <w:rPr>
      <w:rFonts w:cs="Times New Roman"/>
    </w:rPr>
  </w:style>
  <w:style w:type="character" w:styleId="Fett">
    <w:name w:val="Strong"/>
    <w:uiPriority w:val="22"/>
    <w:qFormat/>
    <w:rsid w:val="00F81838"/>
    <w:rPr>
      <w:b/>
      <w:bCs/>
    </w:rPr>
  </w:style>
  <w:style w:type="character" w:customStyle="1" w:styleId="apple-converted-space">
    <w:name w:val="apple-converted-space"/>
    <w:basedOn w:val="Absatz-Standardschriftart"/>
    <w:qFormat/>
    <w:rsid w:val="00F81838"/>
  </w:style>
  <w:style w:type="character" w:customStyle="1" w:styleId="InternetLink">
    <w:name w:val="Internet Link"/>
    <w:uiPriority w:val="99"/>
    <w:unhideWhenUsed/>
    <w:rsid w:val="00F81838"/>
    <w:rPr>
      <w:color w:val="0000FF"/>
      <w:u w:val="single"/>
    </w:rPr>
  </w:style>
  <w:style w:type="character" w:customStyle="1" w:styleId="LiteraturverzeichnisZchn">
    <w:name w:val="Literaturverzeichnis Zchn"/>
    <w:link w:val="Literaturverzeichnis"/>
    <w:uiPriority w:val="37"/>
    <w:qFormat/>
    <w:rsid w:val="00F81838"/>
    <w:rPr>
      <w:rFonts w:ascii="Times New Roman" w:hAnsi="Times New Roman"/>
      <w:sz w:val="24"/>
    </w:rPr>
  </w:style>
  <w:style w:type="character" w:styleId="Platzhaltertext">
    <w:name w:val="Placeholder Text"/>
    <w:uiPriority w:val="99"/>
    <w:semiHidden/>
    <w:qFormat/>
    <w:rsid w:val="00F81838"/>
    <w:rPr>
      <w:color w:val="808080"/>
    </w:rPr>
  </w:style>
  <w:style w:type="character" w:customStyle="1" w:styleId="LiteraturZchn">
    <w:name w:val="Literatur Zchn"/>
    <w:link w:val="Literatur"/>
    <w:qFormat/>
    <w:rsid w:val="00F81838"/>
    <w:rPr>
      <w:rFonts w:ascii="Times New Roman" w:hAnsi="Times New Roman"/>
      <w:sz w:val="24"/>
    </w:rPr>
  </w:style>
  <w:style w:type="character" w:customStyle="1" w:styleId="FormelZchn">
    <w:name w:val="Formel Zchn"/>
    <w:link w:val="Formel"/>
    <w:qFormat/>
    <w:rsid w:val="00F81838"/>
    <w:rPr>
      <w:rFonts w:ascii="Times New Roman" w:hAnsi="Times New Roman"/>
      <w:color w:val="000000"/>
      <w:sz w:val="24"/>
    </w:rPr>
  </w:style>
  <w:style w:type="character" w:styleId="BesuchterLink">
    <w:name w:val="FollowedHyperlink"/>
    <w:uiPriority w:val="99"/>
    <w:semiHidden/>
    <w:unhideWhenUsed/>
    <w:qFormat/>
    <w:rsid w:val="00F81838"/>
    <w:rPr>
      <w:color w:val="800080"/>
      <w:u w:val="single"/>
    </w:rPr>
  </w:style>
  <w:style w:type="character" w:customStyle="1" w:styleId="reference-text">
    <w:name w:val="reference-text"/>
    <w:basedOn w:val="Absatz-Standardschriftart"/>
    <w:qFormat/>
    <w:rsid w:val="00F81838"/>
  </w:style>
  <w:style w:type="character" w:customStyle="1" w:styleId="KommentarthemaZchn">
    <w:name w:val="Kommentarthema Zchn"/>
    <w:link w:val="Kommentarthema"/>
    <w:uiPriority w:val="99"/>
    <w:semiHidden/>
    <w:qFormat/>
    <w:rsid w:val="00F81838"/>
    <w:rPr>
      <w:rFonts w:ascii="Times New Roman" w:hAnsi="Times New Roman"/>
      <w:b/>
      <w:bCs/>
    </w:rPr>
  </w:style>
  <w:style w:type="character" w:customStyle="1" w:styleId="Literaturverzeichnis2Zchn">
    <w:name w:val="Literaturverzeichnis2 Zchn"/>
    <w:link w:val="Literaturverzeichnis2"/>
    <w:qFormat/>
    <w:rsid w:val="00F81838"/>
    <w:rPr>
      <w:rFonts w:ascii="Times New Roman" w:hAnsi="Times New Roman"/>
      <w:sz w:val="24"/>
    </w:rPr>
  </w:style>
  <w:style w:type="character" w:customStyle="1" w:styleId="EndnotentextZchn">
    <w:name w:val="Endnotentext Zchn"/>
    <w:link w:val="Endnotentext"/>
    <w:uiPriority w:val="99"/>
    <w:semiHidden/>
    <w:qFormat/>
    <w:rsid w:val="00F81838"/>
    <w:rPr>
      <w:rFonts w:ascii="Times New Roman" w:hAnsi="Times New Roman"/>
    </w:rPr>
  </w:style>
  <w:style w:type="character" w:styleId="Endnotenzeichen">
    <w:name w:val="endnote reference"/>
    <w:uiPriority w:val="99"/>
    <w:semiHidden/>
    <w:unhideWhenUsed/>
    <w:qFormat/>
    <w:rsid w:val="00F81838"/>
    <w:rPr>
      <w:vertAlign w:val="superscript"/>
    </w:rPr>
  </w:style>
  <w:style w:type="character" w:customStyle="1" w:styleId="TextkrperZchn">
    <w:name w:val="Textkörper Zchn"/>
    <w:link w:val="Textkrper"/>
    <w:uiPriority w:val="1"/>
    <w:qFormat/>
    <w:rsid w:val="00F81838"/>
    <w:rPr>
      <w:rFonts w:ascii="Times New Roman" w:eastAsia="Times New Roman" w:hAnsi="Times New Roman" w:cs="Calibri"/>
      <w:sz w:val="24"/>
      <w:szCs w:val="24"/>
      <w:lang w:val="en-US"/>
    </w:rPr>
  </w:style>
  <w:style w:type="character" w:customStyle="1" w:styleId="ListLabel1">
    <w:name w:val="ListLabel 1"/>
    <w:qFormat/>
    <w:rsid w:val="00F81838"/>
    <w:rPr>
      <w:rFonts w:eastAsia="Times New Roman" w:cs="Times New Roman"/>
    </w:rPr>
  </w:style>
  <w:style w:type="character" w:customStyle="1" w:styleId="ListLabel2">
    <w:name w:val="ListLabel 2"/>
    <w:qFormat/>
    <w:rsid w:val="00F81838"/>
    <w:rPr>
      <w:rFonts w:cs="Courier New"/>
    </w:rPr>
  </w:style>
  <w:style w:type="character" w:customStyle="1" w:styleId="ListLabel3">
    <w:name w:val="ListLabel 3"/>
    <w:qFormat/>
    <w:rsid w:val="00F81838"/>
    <w:rPr>
      <w:rFonts w:cs="Courier New"/>
    </w:rPr>
  </w:style>
  <w:style w:type="character" w:customStyle="1" w:styleId="ListLabel4">
    <w:name w:val="ListLabel 4"/>
    <w:qFormat/>
    <w:rsid w:val="00F81838"/>
    <w:rPr>
      <w:rFonts w:cs="Courier New"/>
    </w:rPr>
  </w:style>
  <w:style w:type="character" w:customStyle="1" w:styleId="ListLabel5">
    <w:name w:val="ListLabel 5"/>
    <w:qFormat/>
    <w:rsid w:val="00F81838"/>
    <w:rPr>
      <w:rFonts w:cs="Courier New"/>
    </w:rPr>
  </w:style>
  <w:style w:type="character" w:customStyle="1" w:styleId="ListLabel6">
    <w:name w:val="ListLabel 6"/>
    <w:qFormat/>
    <w:rsid w:val="00F81838"/>
    <w:rPr>
      <w:rFonts w:cs="Courier New"/>
    </w:rPr>
  </w:style>
  <w:style w:type="character" w:customStyle="1" w:styleId="ListLabel7">
    <w:name w:val="ListLabel 7"/>
    <w:qFormat/>
    <w:rsid w:val="00F81838"/>
    <w:rPr>
      <w:rFonts w:cs="Courier New"/>
    </w:rPr>
  </w:style>
  <w:style w:type="character" w:customStyle="1" w:styleId="ListLabel8">
    <w:name w:val="ListLabel 8"/>
    <w:qFormat/>
    <w:rsid w:val="00F81838"/>
    <w:rPr>
      <w:rFonts w:cs="Courier New"/>
    </w:rPr>
  </w:style>
  <w:style w:type="character" w:customStyle="1" w:styleId="ListLabel9">
    <w:name w:val="ListLabel 9"/>
    <w:qFormat/>
    <w:rsid w:val="00F81838"/>
    <w:rPr>
      <w:rFonts w:cs="Courier New"/>
    </w:rPr>
  </w:style>
  <w:style w:type="character" w:customStyle="1" w:styleId="ListLabel10">
    <w:name w:val="ListLabel 10"/>
    <w:qFormat/>
    <w:rsid w:val="00F81838"/>
    <w:rPr>
      <w:rFonts w:cs="Courier New"/>
    </w:rPr>
  </w:style>
  <w:style w:type="character" w:customStyle="1" w:styleId="ListLabel11">
    <w:name w:val="ListLabel 11"/>
    <w:qFormat/>
    <w:rsid w:val="00F81838"/>
    <w:rPr>
      <w:rFonts w:cs="Courier New"/>
    </w:rPr>
  </w:style>
  <w:style w:type="character" w:customStyle="1" w:styleId="ListLabel12">
    <w:name w:val="ListLabel 12"/>
    <w:qFormat/>
    <w:rsid w:val="00F81838"/>
    <w:rPr>
      <w:rFonts w:cs="Courier New"/>
    </w:rPr>
  </w:style>
  <w:style w:type="character" w:customStyle="1" w:styleId="ListLabel13">
    <w:name w:val="ListLabel 13"/>
    <w:qFormat/>
    <w:rsid w:val="00F81838"/>
    <w:rPr>
      <w:rFonts w:cs="Courier New"/>
    </w:rPr>
  </w:style>
  <w:style w:type="character" w:customStyle="1" w:styleId="ListLabel14">
    <w:name w:val="ListLabel 14"/>
    <w:qFormat/>
    <w:rsid w:val="00F81838"/>
    <w:rPr>
      <w:rFonts w:cs="Courier New"/>
    </w:rPr>
  </w:style>
  <w:style w:type="character" w:customStyle="1" w:styleId="ListLabel15">
    <w:name w:val="ListLabel 15"/>
    <w:qFormat/>
    <w:rsid w:val="00F81838"/>
    <w:rPr>
      <w:rFonts w:cs="Courier New"/>
    </w:rPr>
  </w:style>
  <w:style w:type="character" w:customStyle="1" w:styleId="ListLabel16">
    <w:name w:val="ListLabel 16"/>
    <w:qFormat/>
    <w:rsid w:val="00F81838"/>
    <w:rPr>
      <w:rFonts w:cs="Courier New"/>
    </w:rPr>
  </w:style>
  <w:style w:type="character" w:customStyle="1" w:styleId="ListLabel17">
    <w:name w:val="ListLabel 17"/>
    <w:qFormat/>
    <w:rsid w:val="00F81838"/>
    <w:rPr>
      <w:rFonts w:cs="Courier New"/>
    </w:rPr>
  </w:style>
  <w:style w:type="character" w:customStyle="1" w:styleId="ListLabel18">
    <w:name w:val="ListLabel 18"/>
    <w:qFormat/>
    <w:rsid w:val="00F81838"/>
    <w:rPr>
      <w:rFonts w:cs="Courier New"/>
    </w:rPr>
  </w:style>
  <w:style w:type="character" w:customStyle="1" w:styleId="ListLabel19">
    <w:name w:val="ListLabel 19"/>
    <w:qFormat/>
    <w:rsid w:val="00F81838"/>
    <w:rPr>
      <w:rFonts w:cs="Courier New"/>
    </w:rPr>
  </w:style>
  <w:style w:type="character" w:customStyle="1" w:styleId="ListLabel20">
    <w:name w:val="ListLabel 20"/>
    <w:qFormat/>
    <w:rsid w:val="00F81838"/>
    <w:rPr>
      <w:rFonts w:cs="Courier New"/>
    </w:rPr>
  </w:style>
  <w:style w:type="character" w:customStyle="1" w:styleId="ListLabel21">
    <w:name w:val="ListLabel 21"/>
    <w:qFormat/>
    <w:rsid w:val="00F81838"/>
    <w:rPr>
      <w:rFonts w:cs="Courier New"/>
    </w:rPr>
  </w:style>
  <w:style w:type="character" w:customStyle="1" w:styleId="ListLabel22">
    <w:name w:val="ListLabel 22"/>
    <w:qFormat/>
    <w:rsid w:val="00F81838"/>
    <w:rPr>
      <w:rFonts w:cs="Courier New"/>
    </w:rPr>
  </w:style>
  <w:style w:type="character" w:customStyle="1" w:styleId="ListLabel23">
    <w:name w:val="ListLabel 23"/>
    <w:qFormat/>
    <w:rsid w:val="00F81838"/>
    <w:rPr>
      <w:sz w:val="20"/>
    </w:rPr>
  </w:style>
  <w:style w:type="character" w:customStyle="1" w:styleId="ListLabel24">
    <w:name w:val="ListLabel 24"/>
    <w:qFormat/>
    <w:rsid w:val="00F81838"/>
    <w:rPr>
      <w:sz w:val="20"/>
    </w:rPr>
  </w:style>
  <w:style w:type="character" w:customStyle="1" w:styleId="ListLabel25">
    <w:name w:val="ListLabel 25"/>
    <w:qFormat/>
    <w:rsid w:val="00F81838"/>
    <w:rPr>
      <w:sz w:val="20"/>
    </w:rPr>
  </w:style>
  <w:style w:type="character" w:customStyle="1" w:styleId="ListLabel26">
    <w:name w:val="ListLabel 26"/>
    <w:qFormat/>
    <w:rsid w:val="00F81838"/>
    <w:rPr>
      <w:sz w:val="20"/>
    </w:rPr>
  </w:style>
  <w:style w:type="character" w:customStyle="1" w:styleId="ListLabel27">
    <w:name w:val="ListLabel 27"/>
    <w:qFormat/>
    <w:rsid w:val="00F81838"/>
    <w:rPr>
      <w:sz w:val="20"/>
    </w:rPr>
  </w:style>
  <w:style w:type="character" w:customStyle="1" w:styleId="ListLabel28">
    <w:name w:val="ListLabel 28"/>
    <w:qFormat/>
    <w:rsid w:val="00F81838"/>
    <w:rPr>
      <w:sz w:val="20"/>
    </w:rPr>
  </w:style>
  <w:style w:type="character" w:customStyle="1" w:styleId="ListLabel29">
    <w:name w:val="ListLabel 29"/>
    <w:qFormat/>
    <w:rsid w:val="00F81838"/>
    <w:rPr>
      <w:sz w:val="20"/>
    </w:rPr>
  </w:style>
  <w:style w:type="character" w:customStyle="1" w:styleId="ListLabel30">
    <w:name w:val="ListLabel 30"/>
    <w:qFormat/>
    <w:rsid w:val="00F81838"/>
    <w:rPr>
      <w:sz w:val="20"/>
    </w:rPr>
  </w:style>
  <w:style w:type="character" w:customStyle="1" w:styleId="ListLabel31">
    <w:name w:val="ListLabel 31"/>
    <w:qFormat/>
    <w:rsid w:val="00F81838"/>
    <w:rPr>
      <w:sz w:val="20"/>
    </w:rPr>
  </w:style>
  <w:style w:type="character" w:customStyle="1" w:styleId="ListLabel32">
    <w:name w:val="ListLabel 32"/>
    <w:qFormat/>
    <w:rsid w:val="00F81838"/>
    <w:rPr>
      <w:sz w:val="20"/>
    </w:rPr>
  </w:style>
  <w:style w:type="character" w:customStyle="1" w:styleId="ListLabel33">
    <w:name w:val="ListLabel 33"/>
    <w:qFormat/>
    <w:rsid w:val="00F81838"/>
    <w:rPr>
      <w:sz w:val="20"/>
    </w:rPr>
  </w:style>
  <w:style w:type="character" w:customStyle="1" w:styleId="ListLabel34">
    <w:name w:val="ListLabel 34"/>
    <w:qFormat/>
    <w:rsid w:val="00F81838"/>
    <w:rPr>
      <w:sz w:val="20"/>
    </w:rPr>
  </w:style>
  <w:style w:type="character" w:customStyle="1" w:styleId="ListLabel35">
    <w:name w:val="ListLabel 35"/>
    <w:qFormat/>
    <w:rsid w:val="00F81838"/>
    <w:rPr>
      <w:sz w:val="20"/>
    </w:rPr>
  </w:style>
  <w:style w:type="character" w:customStyle="1" w:styleId="ListLabel36">
    <w:name w:val="ListLabel 36"/>
    <w:qFormat/>
    <w:rsid w:val="00F81838"/>
    <w:rPr>
      <w:sz w:val="20"/>
    </w:rPr>
  </w:style>
  <w:style w:type="character" w:customStyle="1" w:styleId="ListLabel37">
    <w:name w:val="ListLabel 37"/>
    <w:qFormat/>
    <w:rsid w:val="00F81838"/>
    <w:rPr>
      <w:sz w:val="20"/>
    </w:rPr>
  </w:style>
  <w:style w:type="character" w:customStyle="1" w:styleId="ListLabel38">
    <w:name w:val="ListLabel 38"/>
    <w:qFormat/>
    <w:rsid w:val="00F81838"/>
    <w:rPr>
      <w:sz w:val="20"/>
    </w:rPr>
  </w:style>
  <w:style w:type="character" w:customStyle="1" w:styleId="ListLabel39">
    <w:name w:val="ListLabel 39"/>
    <w:qFormat/>
    <w:rsid w:val="00F81838"/>
    <w:rPr>
      <w:sz w:val="20"/>
    </w:rPr>
  </w:style>
  <w:style w:type="character" w:customStyle="1" w:styleId="ListLabel40">
    <w:name w:val="ListLabel 40"/>
    <w:qFormat/>
    <w:rsid w:val="00F81838"/>
    <w:rPr>
      <w:sz w:val="20"/>
    </w:rPr>
  </w:style>
  <w:style w:type="character" w:customStyle="1" w:styleId="ListLabel41">
    <w:name w:val="ListLabel 41"/>
    <w:qFormat/>
    <w:rsid w:val="00F81838"/>
    <w:rPr>
      <w:sz w:val="20"/>
    </w:rPr>
  </w:style>
  <w:style w:type="character" w:customStyle="1" w:styleId="ListLabel42">
    <w:name w:val="ListLabel 42"/>
    <w:qFormat/>
    <w:rsid w:val="00F81838"/>
    <w:rPr>
      <w:sz w:val="20"/>
    </w:rPr>
  </w:style>
  <w:style w:type="character" w:customStyle="1" w:styleId="ListLabel43">
    <w:name w:val="ListLabel 43"/>
    <w:qFormat/>
    <w:rsid w:val="00F81838"/>
    <w:rPr>
      <w:sz w:val="20"/>
    </w:rPr>
  </w:style>
  <w:style w:type="character" w:customStyle="1" w:styleId="ListLabel44">
    <w:name w:val="ListLabel 44"/>
    <w:qFormat/>
    <w:rsid w:val="00F81838"/>
    <w:rPr>
      <w:sz w:val="20"/>
    </w:rPr>
  </w:style>
  <w:style w:type="character" w:customStyle="1" w:styleId="ListLabel45">
    <w:name w:val="ListLabel 45"/>
    <w:qFormat/>
    <w:rsid w:val="00F81838"/>
    <w:rPr>
      <w:sz w:val="20"/>
    </w:rPr>
  </w:style>
  <w:style w:type="character" w:customStyle="1" w:styleId="ListLabel46">
    <w:name w:val="ListLabel 46"/>
    <w:qFormat/>
    <w:rsid w:val="00F81838"/>
    <w:rPr>
      <w:sz w:val="20"/>
    </w:rPr>
  </w:style>
  <w:style w:type="character" w:customStyle="1" w:styleId="ListLabel47">
    <w:name w:val="ListLabel 47"/>
    <w:qFormat/>
    <w:rsid w:val="00F81838"/>
    <w:rPr>
      <w:sz w:val="20"/>
    </w:rPr>
  </w:style>
  <w:style w:type="character" w:customStyle="1" w:styleId="ListLabel48">
    <w:name w:val="ListLabel 48"/>
    <w:qFormat/>
    <w:rsid w:val="00F81838"/>
    <w:rPr>
      <w:sz w:val="20"/>
    </w:rPr>
  </w:style>
  <w:style w:type="character" w:customStyle="1" w:styleId="ListLabel49">
    <w:name w:val="ListLabel 49"/>
    <w:qFormat/>
    <w:rsid w:val="00F81838"/>
    <w:rPr>
      <w:sz w:val="20"/>
    </w:rPr>
  </w:style>
  <w:style w:type="character" w:customStyle="1" w:styleId="ListLabel50">
    <w:name w:val="ListLabel 50"/>
    <w:qFormat/>
    <w:rsid w:val="00F81838"/>
    <w:rPr>
      <w:rFonts w:cs="Courier New"/>
    </w:rPr>
  </w:style>
  <w:style w:type="character" w:customStyle="1" w:styleId="ListLabel51">
    <w:name w:val="ListLabel 51"/>
    <w:qFormat/>
    <w:rsid w:val="00F81838"/>
    <w:rPr>
      <w:rFonts w:cs="Courier New"/>
    </w:rPr>
  </w:style>
  <w:style w:type="character" w:customStyle="1" w:styleId="ListLabel52">
    <w:name w:val="ListLabel 52"/>
    <w:qFormat/>
    <w:rsid w:val="00F81838"/>
    <w:rPr>
      <w:rFonts w:cs="Courier New"/>
    </w:rPr>
  </w:style>
  <w:style w:type="character" w:customStyle="1" w:styleId="ListLabel53">
    <w:name w:val="ListLabel 53"/>
    <w:qFormat/>
    <w:rsid w:val="00F81838"/>
    <w:rPr>
      <w:rFonts w:cs="Courier New"/>
    </w:rPr>
  </w:style>
  <w:style w:type="character" w:customStyle="1" w:styleId="ListLabel54">
    <w:name w:val="ListLabel 54"/>
    <w:qFormat/>
    <w:rsid w:val="00F81838"/>
    <w:rPr>
      <w:rFonts w:cs="Courier New"/>
    </w:rPr>
  </w:style>
  <w:style w:type="character" w:customStyle="1" w:styleId="ListLabel55">
    <w:name w:val="ListLabel 55"/>
    <w:qFormat/>
    <w:rsid w:val="00F81838"/>
    <w:rPr>
      <w:rFonts w:cs="Courier New"/>
    </w:rPr>
  </w:style>
  <w:style w:type="character" w:customStyle="1" w:styleId="ListLabel56">
    <w:name w:val="ListLabel 56"/>
    <w:qFormat/>
    <w:rsid w:val="00F81838"/>
    <w:rPr>
      <w:rFonts w:cs="Courier New"/>
    </w:rPr>
  </w:style>
  <w:style w:type="character" w:customStyle="1" w:styleId="ListLabel57">
    <w:name w:val="ListLabel 57"/>
    <w:qFormat/>
    <w:rsid w:val="00F81838"/>
    <w:rPr>
      <w:rFonts w:cs="Courier New"/>
    </w:rPr>
  </w:style>
  <w:style w:type="character" w:customStyle="1" w:styleId="ListLabel58">
    <w:name w:val="ListLabel 58"/>
    <w:qFormat/>
    <w:rsid w:val="00F81838"/>
    <w:rPr>
      <w:rFonts w:cs="Courier New"/>
    </w:rPr>
  </w:style>
  <w:style w:type="character" w:customStyle="1" w:styleId="ListLabel59">
    <w:name w:val="ListLabel 59"/>
    <w:qFormat/>
    <w:rsid w:val="00F81838"/>
    <w:rPr>
      <w:rFonts w:cs="Courier New"/>
    </w:rPr>
  </w:style>
  <w:style w:type="character" w:customStyle="1" w:styleId="ListLabel60">
    <w:name w:val="ListLabel 60"/>
    <w:qFormat/>
    <w:rsid w:val="00F81838"/>
    <w:rPr>
      <w:rFonts w:cs="Courier New"/>
    </w:rPr>
  </w:style>
  <w:style w:type="character" w:customStyle="1" w:styleId="ListLabel61">
    <w:name w:val="ListLabel 61"/>
    <w:qFormat/>
    <w:rsid w:val="00F81838"/>
    <w:rPr>
      <w:rFonts w:cs="Courier New"/>
    </w:rPr>
  </w:style>
  <w:style w:type="character" w:customStyle="1" w:styleId="ListLabel62">
    <w:name w:val="ListLabel 62"/>
    <w:qFormat/>
    <w:rsid w:val="00F81838"/>
    <w:rPr>
      <w:rFonts w:eastAsia="Calibri" w:cs="Times New Roman"/>
    </w:rPr>
  </w:style>
  <w:style w:type="character" w:customStyle="1" w:styleId="ListLabel63">
    <w:name w:val="ListLabel 63"/>
    <w:qFormat/>
    <w:rsid w:val="00F81838"/>
    <w:rPr>
      <w:rFonts w:cs="Courier New"/>
    </w:rPr>
  </w:style>
  <w:style w:type="character" w:customStyle="1" w:styleId="ListLabel64">
    <w:name w:val="ListLabel 64"/>
    <w:qFormat/>
    <w:rsid w:val="00F81838"/>
    <w:rPr>
      <w:rFonts w:cs="Courier New"/>
    </w:rPr>
  </w:style>
  <w:style w:type="character" w:customStyle="1" w:styleId="ListLabel65">
    <w:name w:val="ListLabel 65"/>
    <w:qFormat/>
    <w:rsid w:val="00F81838"/>
    <w:rPr>
      <w:rFonts w:cs="Courier New"/>
    </w:rPr>
  </w:style>
  <w:style w:type="character" w:customStyle="1" w:styleId="ListLabel66">
    <w:name w:val="ListLabel 66"/>
    <w:qFormat/>
    <w:rsid w:val="00F81838"/>
    <w:rPr>
      <w:rFonts w:cs="Courier New"/>
    </w:rPr>
  </w:style>
  <w:style w:type="character" w:customStyle="1" w:styleId="ListLabel67">
    <w:name w:val="ListLabel 67"/>
    <w:qFormat/>
    <w:rsid w:val="00F81838"/>
    <w:rPr>
      <w:rFonts w:cs="Courier New"/>
    </w:rPr>
  </w:style>
  <w:style w:type="character" w:customStyle="1" w:styleId="ListLabel68">
    <w:name w:val="ListLabel 68"/>
    <w:qFormat/>
    <w:rsid w:val="00F81838"/>
    <w:rPr>
      <w:rFonts w:cs="Courier New"/>
    </w:rPr>
  </w:style>
  <w:style w:type="character" w:customStyle="1" w:styleId="ListLabel69">
    <w:name w:val="ListLabel 69"/>
    <w:qFormat/>
    <w:rsid w:val="00F81838"/>
    <w:rPr>
      <w:rFonts w:cs="Courier New"/>
    </w:rPr>
  </w:style>
  <w:style w:type="character" w:customStyle="1" w:styleId="ListLabel70">
    <w:name w:val="ListLabel 70"/>
    <w:qFormat/>
    <w:rsid w:val="00F81838"/>
    <w:rPr>
      <w:rFonts w:cs="Courier New"/>
    </w:rPr>
  </w:style>
  <w:style w:type="character" w:customStyle="1" w:styleId="ListLabel71">
    <w:name w:val="ListLabel 71"/>
    <w:qFormat/>
    <w:rsid w:val="00F81838"/>
    <w:rPr>
      <w:rFonts w:cs="Courier New"/>
    </w:rPr>
  </w:style>
  <w:style w:type="character" w:customStyle="1" w:styleId="ListLabel72">
    <w:name w:val="ListLabel 72"/>
    <w:qFormat/>
    <w:rsid w:val="00F81838"/>
    <w:rPr>
      <w:rFonts w:eastAsia="Calibri" w:cs="Times New Roman"/>
    </w:rPr>
  </w:style>
  <w:style w:type="character" w:customStyle="1" w:styleId="ListLabel73">
    <w:name w:val="ListLabel 73"/>
    <w:qFormat/>
    <w:rsid w:val="00F81838"/>
    <w:rPr>
      <w:rFonts w:cs="Courier New"/>
    </w:rPr>
  </w:style>
  <w:style w:type="character" w:customStyle="1" w:styleId="ListLabel74">
    <w:name w:val="ListLabel 74"/>
    <w:qFormat/>
    <w:rsid w:val="00F81838"/>
    <w:rPr>
      <w:rFonts w:cs="Courier New"/>
    </w:rPr>
  </w:style>
  <w:style w:type="character" w:customStyle="1" w:styleId="ListLabel75">
    <w:name w:val="ListLabel 75"/>
    <w:qFormat/>
    <w:rsid w:val="00F81838"/>
    <w:rPr>
      <w:rFonts w:cs="Courier New"/>
    </w:rPr>
  </w:style>
  <w:style w:type="character" w:customStyle="1" w:styleId="ListLabel76">
    <w:name w:val="ListLabel 76"/>
    <w:qFormat/>
    <w:rsid w:val="00F81838"/>
    <w:rPr>
      <w:rFonts w:eastAsia="Calibri" w:cs="Times New Roman"/>
    </w:rPr>
  </w:style>
  <w:style w:type="character" w:customStyle="1" w:styleId="ListLabel77">
    <w:name w:val="ListLabel 77"/>
    <w:qFormat/>
    <w:rsid w:val="00F81838"/>
    <w:rPr>
      <w:rFonts w:cs="Courier New"/>
    </w:rPr>
  </w:style>
  <w:style w:type="character" w:customStyle="1" w:styleId="ListLabel78">
    <w:name w:val="ListLabel 78"/>
    <w:qFormat/>
    <w:rsid w:val="00F81838"/>
    <w:rPr>
      <w:rFonts w:cs="Courier New"/>
    </w:rPr>
  </w:style>
  <w:style w:type="character" w:customStyle="1" w:styleId="ListLabel79">
    <w:name w:val="ListLabel 79"/>
    <w:qFormat/>
    <w:rsid w:val="00F81838"/>
    <w:rPr>
      <w:rFonts w:cs="Courier New"/>
    </w:rPr>
  </w:style>
  <w:style w:type="character" w:customStyle="1" w:styleId="ListLabel80">
    <w:name w:val="ListLabel 80"/>
    <w:qFormat/>
    <w:rsid w:val="00F81838"/>
    <w:rPr>
      <w:rFonts w:eastAsia="Calibri" w:cs="Times New Roman"/>
    </w:rPr>
  </w:style>
  <w:style w:type="character" w:customStyle="1" w:styleId="ListLabel81">
    <w:name w:val="ListLabel 81"/>
    <w:qFormat/>
    <w:rsid w:val="00F81838"/>
    <w:rPr>
      <w:rFonts w:cs="Courier New"/>
    </w:rPr>
  </w:style>
  <w:style w:type="character" w:customStyle="1" w:styleId="ListLabel82">
    <w:name w:val="ListLabel 82"/>
    <w:qFormat/>
    <w:rsid w:val="00F81838"/>
    <w:rPr>
      <w:rFonts w:cs="Courier New"/>
    </w:rPr>
  </w:style>
  <w:style w:type="character" w:customStyle="1" w:styleId="ListLabel83">
    <w:name w:val="ListLabel 83"/>
    <w:qFormat/>
    <w:rsid w:val="00F81838"/>
    <w:rPr>
      <w:rFonts w:cs="Courier New"/>
    </w:rPr>
  </w:style>
  <w:style w:type="character" w:customStyle="1" w:styleId="ListLabel84">
    <w:name w:val="ListLabel 84"/>
    <w:qFormat/>
    <w:rsid w:val="00F81838"/>
    <w:rPr>
      <w:rFonts w:eastAsia="Calibri" w:cs="Times New Roman"/>
    </w:rPr>
  </w:style>
  <w:style w:type="character" w:customStyle="1" w:styleId="ListLabel85">
    <w:name w:val="ListLabel 85"/>
    <w:qFormat/>
    <w:rsid w:val="00F81838"/>
    <w:rPr>
      <w:rFonts w:cs="Courier New"/>
    </w:rPr>
  </w:style>
  <w:style w:type="character" w:customStyle="1" w:styleId="ListLabel86">
    <w:name w:val="ListLabel 86"/>
    <w:qFormat/>
    <w:rsid w:val="00F81838"/>
    <w:rPr>
      <w:rFonts w:cs="Courier New"/>
    </w:rPr>
  </w:style>
  <w:style w:type="character" w:customStyle="1" w:styleId="ListLabel87">
    <w:name w:val="ListLabel 87"/>
    <w:qFormat/>
    <w:rsid w:val="00F81838"/>
    <w:rPr>
      <w:rFonts w:cs="Courier New"/>
    </w:rPr>
  </w:style>
  <w:style w:type="character" w:customStyle="1" w:styleId="ListLabel88">
    <w:name w:val="ListLabel 88"/>
    <w:qFormat/>
    <w:rsid w:val="00F81838"/>
    <w:rPr>
      <w:rFonts w:eastAsia="Calibri" w:cs="Times New Roman"/>
    </w:rPr>
  </w:style>
  <w:style w:type="character" w:customStyle="1" w:styleId="ListLabel89">
    <w:name w:val="ListLabel 89"/>
    <w:qFormat/>
    <w:rsid w:val="00F81838"/>
    <w:rPr>
      <w:rFonts w:cs="Courier New"/>
    </w:rPr>
  </w:style>
  <w:style w:type="character" w:customStyle="1" w:styleId="ListLabel90">
    <w:name w:val="ListLabel 90"/>
    <w:qFormat/>
    <w:rsid w:val="00F81838"/>
    <w:rPr>
      <w:rFonts w:cs="Courier New"/>
    </w:rPr>
  </w:style>
  <w:style w:type="character" w:customStyle="1" w:styleId="ListLabel91">
    <w:name w:val="ListLabel 91"/>
    <w:qFormat/>
    <w:rsid w:val="00F81838"/>
    <w:rPr>
      <w:rFonts w:cs="Courier New"/>
    </w:rPr>
  </w:style>
  <w:style w:type="character" w:customStyle="1" w:styleId="ListLabel92">
    <w:name w:val="ListLabel 92"/>
    <w:qFormat/>
    <w:rsid w:val="00F81838"/>
    <w:rPr>
      <w:rFonts w:eastAsia="Calibri" w:cs="Times New Roman"/>
    </w:rPr>
  </w:style>
  <w:style w:type="character" w:customStyle="1" w:styleId="ListLabel93">
    <w:name w:val="ListLabel 93"/>
    <w:qFormat/>
    <w:rsid w:val="00F81838"/>
    <w:rPr>
      <w:rFonts w:cs="Courier New"/>
    </w:rPr>
  </w:style>
  <w:style w:type="character" w:customStyle="1" w:styleId="ListLabel94">
    <w:name w:val="ListLabel 94"/>
    <w:qFormat/>
    <w:rsid w:val="00F81838"/>
    <w:rPr>
      <w:rFonts w:cs="Courier New"/>
    </w:rPr>
  </w:style>
  <w:style w:type="character" w:customStyle="1" w:styleId="ListLabel95">
    <w:name w:val="ListLabel 95"/>
    <w:qFormat/>
    <w:rsid w:val="00F81838"/>
    <w:rPr>
      <w:rFonts w:cs="Courier New"/>
    </w:rPr>
  </w:style>
  <w:style w:type="character" w:customStyle="1" w:styleId="IndexLink">
    <w:name w:val="Index Link"/>
    <w:qFormat/>
    <w:rsid w:val="00F81838"/>
  </w:style>
  <w:style w:type="paragraph" w:customStyle="1" w:styleId="Heading">
    <w:name w:val="Heading"/>
    <w:basedOn w:val="Standard"/>
    <w:next w:val="Textkrper"/>
    <w:qFormat/>
    <w:rsid w:val="00F81838"/>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1"/>
    <w:qFormat/>
    <w:rsid w:val="00F81838"/>
    <w:pPr>
      <w:widowControl w:val="0"/>
      <w:spacing w:after="0" w:line="240" w:lineRule="auto"/>
      <w:ind w:left="588"/>
      <w:jc w:val="left"/>
    </w:pPr>
    <w:rPr>
      <w:rFonts w:eastAsia="Times New Roman" w:cs="Calibri"/>
      <w:szCs w:val="24"/>
      <w:lang w:val="en-US"/>
    </w:rPr>
  </w:style>
  <w:style w:type="character" w:customStyle="1" w:styleId="TextkrperZchn1">
    <w:name w:val="Textkörper Zchn1"/>
    <w:basedOn w:val="Absatz-Standardschriftart"/>
    <w:uiPriority w:val="99"/>
    <w:semiHidden/>
    <w:rsid w:val="00F81838"/>
    <w:rPr>
      <w:rFonts w:ascii="Times New Roman" w:eastAsia="Calibri" w:hAnsi="Times New Roman" w:cs="Times New Roman"/>
      <w:sz w:val="24"/>
    </w:rPr>
  </w:style>
  <w:style w:type="paragraph" w:styleId="Liste">
    <w:name w:val="List"/>
    <w:basedOn w:val="Textkrper"/>
    <w:rsid w:val="00F81838"/>
    <w:rPr>
      <w:rFonts w:cs="Arial"/>
    </w:rPr>
  </w:style>
  <w:style w:type="paragraph" w:styleId="Beschriftung">
    <w:name w:val="caption"/>
    <w:basedOn w:val="Standard"/>
    <w:next w:val="Standard"/>
    <w:uiPriority w:val="35"/>
    <w:unhideWhenUsed/>
    <w:qFormat/>
    <w:rsid w:val="00F81838"/>
    <w:pPr>
      <w:spacing w:line="240" w:lineRule="auto"/>
    </w:pPr>
    <w:rPr>
      <w:bCs/>
      <w:sz w:val="20"/>
      <w:szCs w:val="18"/>
    </w:rPr>
  </w:style>
  <w:style w:type="paragraph" w:customStyle="1" w:styleId="Index">
    <w:name w:val="Index"/>
    <w:basedOn w:val="Standard"/>
    <w:qFormat/>
    <w:rsid w:val="00F81838"/>
    <w:pPr>
      <w:suppressLineNumbers/>
    </w:pPr>
    <w:rPr>
      <w:rFonts w:cs="Arial"/>
    </w:rPr>
  </w:style>
  <w:style w:type="paragraph" w:styleId="Titel">
    <w:name w:val="Title"/>
    <w:basedOn w:val="Standard"/>
    <w:next w:val="Standard"/>
    <w:link w:val="TitelZchn"/>
    <w:uiPriority w:val="99"/>
    <w:qFormat/>
    <w:rsid w:val="00F81838"/>
    <w:pPr>
      <w:spacing w:before="240" w:after="60"/>
      <w:jc w:val="left"/>
      <w:outlineLvl w:val="0"/>
    </w:pPr>
    <w:rPr>
      <w:rFonts w:eastAsia="MS Gothic" w:cs="Cambria"/>
      <w:b/>
      <w:bCs/>
      <w:sz w:val="28"/>
      <w:szCs w:val="32"/>
    </w:rPr>
  </w:style>
  <w:style w:type="character" w:customStyle="1" w:styleId="TitelZchn1">
    <w:name w:val="Titel Zchn1"/>
    <w:basedOn w:val="Absatz-Standardschriftart"/>
    <w:uiPriority w:val="10"/>
    <w:rsid w:val="00F81838"/>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99"/>
    <w:qFormat/>
    <w:rsid w:val="00F81838"/>
    <w:pPr>
      <w:spacing w:after="0" w:line="360" w:lineRule="auto"/>
    </w:pPr>
    <w:rPr>
      <w:rFonts w:ascii="Times New Roman" w:eastAsia="MS ??" w:hAnsi="Times New Roman" w:cs="Cambria"/>
      <w:sz w:val="24"/>
      <w:szCs w:val="24"/>
      <w:lang w:eastAsia="ja-JP"/>
    </w:rPr>
  </w:style>
  <w:style w:type="paragraph" w:styleId="Literaturverzeichnis">
    <w:name w:val="Bibliography"/>
    <w:basedOn w:val="Standard"/>
    <w:next w:val="Standard"/>
    <w:link w:val="LiteraturverzeichnisZchn"/>
    <w:uiPriority w:val="37"/>
    <w:unhideWhenUsed/>
    <w:qFormat/>
    <w:rsid w:val="00F81838"/>
    <w:rPr>
      <w:rFonts w:eastAsiaTheme="minorHAnsi" w:cstheme="minorBidi"/>
    </w:rPr>
  </w:style>
  <w:style w:type="paragraph" w:customStyle="1" w:styleId="Literatur">
    <w:name w:val="Literatur"/>
    <w:basedOn w:val="Literaturverzeichnis"/>
    <w:link w:val="LiteraturZchn"/>
    <w:qFormat/>
    <w:rsid w:val="00F81838"/>
    <w:pPr>
      <w:spacing w:line="240" w:lineRule="auto"/>
      <w:jc w:val="left"/>
    </w:pPr>
  </w:style>
  <w:style w:type="paragraph" w:customStyle="1" w:styleId="Formel">
    <w:name w:val="Formel"/>
    <w:basedOn w:val="Standard"/>
    <w:link w:val="FormelZchn"/>
    <w:qFormat/>
    <w:rsid w:val="00F81838"/>
    <w:pPr>
      <w:spacing w:before="240"/>
      <w:jc w:val="right"/>
    </w:pPr>
    <w:rPr>
      <w:rFonts w:eastAsiaTheme="minorHAnsi" w:cstheme="minorBidi"/>
      <w:color w:val="000000"/>
    </w:rPr>
  </w:style>
  <w:style w:type="paragraph" w:styleId="Inhaltsverzeichnisberschrift">
    <w:name w:val="TOC Heading"/>
    <w:basedOn w:val="berschrift1"/>
    <w:next w:val="Standard"/>
    <w:uiPriority w:val="39"/>
    <w:unhideWhenUsed/>
    <w:qFormat/>
    <w:rsid w:val="00F81838"/>
    <w:pPr>
      <w:keepLines/>
      <w:numPr>
        <w:numId w:val="0"/>
      </w:numPr>
      <w:spacing w:before="480" w:after="0" w:line="276" w:lineRule="auto"/>
      <w:jc w:val="left"/>
    </w:pPr>
    <w:rPr>
      <w:rFonts w:ascii="Cambria" w:hAnsi="Cambria"/>
      <w:color w:val="365F91"/>
      <w:szCs w:val="28"/>
      <w:lang w:eastAsia="de-DE"/>
    </w:rPr>
  </w:style>
  <w:style w:type="paragraph" w:styleId="Verzeichnis1">
    <w:name w:val="toc 1"/>
    <w:basedOn w:val="Standard"/>
    <w:next w:val="Standard"/>
    <w:autoRedefine/>
    <w:uiPriority w:val="39"/>
    <w:unhideWhenUsed/>
    <w:rsid w:val="00F81838"/>
    <w:pPr>
      <w:spacing w:after="100"/>
    </w:pPr>
    <w:rPr>
      <w:b/>
    </w:rPr>
  </w:style>
  <w:style w:type="paragraph" w:styleId="Verzeichnis2">
    <w:name w:val="toc 2"/>
    <w:basedOn w:val="Standard"/>
    <w:next w:val="Standard"/>
    <w:autoRedefine/>
    <w:uiPriority w:val="39"/>
    <w:unhideWhenUsed/>
    <w:rsid w:val="00F81838"/>
    <w:pPr>
      <w:spacing w:after="100"/>
      <w:ind w:left="240"/>
    </w:pPr>
  </w:style>
  <w:style w:type="paragraph" w:styleId="Verzeichnis3">
    <w:name w:val="toc 3"/>
    <w:basedOn w:val="Standard"/>
    <w:next w:val="Standard"/>
    <w:autoRedefine/>
    <w:uiPriority w:val="39"/>
    <w:unhideWhenUsed/>
    <w:rsid w:val="00F81838"/>
    <w:pPr>
      <w:spacing w:after="100"/>
      <w:ind w:left="480"/>
    </w:pPr>
  </w:style>
  <w:style w:type="paragraph" w:styleId="Abbildungsverzeichnis">
    <w:name w:val="table of figures"/>
    <w:basedOn w:val="Standard"/>
    <w:next w:val="Standard"/>
    <w:uiPriority w:val="99"/>
    <w:unhideWhenUsed/>
    <w:qFormat/>
    <w:rsid w:val="00F81838"/>
    <w:pPr>
      <w:spacing w:after="0"/>
      <w:jc w:val="left"/>
    </w:pPr>
  </w:style>
  <w:style w:type="paragraph" w:styleId="Kommentarthema">
    <w:name w:val="annotation subject"/>
    <w:basedOn w:val="Kommentartext"/>
    <w:link w:val="KommentarthemaZchn"/>
    <w:uiPriority w:val="99"/>
    <w:semiHidden/>
    <w:unhideWhenUsed/>
    <w:qFormat/>
    <w:rsid w:val="00F81838"/>
    <w:rPr>
      <w:b/>
      <w:bCs/>
    </w:rPr>
  </w:style>
  <w:style w:type="character" w:customStyle="1" w:styleId="KommentarthemaZchn1">
    <w:name w:val="Kommentarthema Zchn1"/>
    <w:basedOn w:val="KommentartextZchn"/>
    <w:uiPriority w:val="99"/>
    <w:semiHidden/>
    <w:rsid w:val="00F81838"/>
    <w:rPr>
      <w:rFonts w:ascii="Times New Roman" w:eastAsia="Calibri" w:hAnsi="Times New Roman" w:cs="Times New Roman"/>
      <w:b/>
      <w:bCs/>
      <w:sz w:val="20"/>
      <w:szCs w:val="20"/>
    </w:rPr>
  </w:style>
  <w:style w:type="paragraph" w:customStyle="1" w:styleId="Literaturverzeichnis2">
    <w:name w:val="Literaturverzeichnis2"/>
    <w:basedOn w:val="Literaturverzeichnis"/>
    <w:link w:val="Literaturverzeichnis2Zchn"/>
    <w:qFormat/>
    <w:rsid w:val="00F81838"/>
  </w:style>
  <w:style w:type="paragraph" w:styleId="Endnotentext">
    <w:name w:val="endnote text"/>
    <w:basedOn w:val="Standard"/>
    <w:link w:val="EndnotentextZchn"/>
    <w:uiPriority w:val="99"/>
    <w:semiHidden/>
    <w:unhideWhenUsed/>
    <w:qFormat/>
    <w:rsid w:val="00F81838"/>
    <w:pPr>
      <w:spacing w:after="0" w:line="240" w:lineRule="auto"/>
    </w:pPr>
    <w:rPr>
      <w:rFonts w:eastAsiaTheme="minorHAnsi" w:cstheme="minorBidi"/>
      <w:sz w:val="22"/>
    </w:rPr>
  </w:style>
  <w:style w:type="character" w:customStyle="1" w:styleId="EndnotentextZchn1">
    <w:name w:val="Endnotentext Zchn1"/>
    <w:basedOn w:val="Absatz-Standardschriftart"/>
    <w:uiPriority w:val="99"/>
    <w:semiHidden/>
    <w:rsid w:val="00F81838"/>
    <w:rPr>
      <w:rFonts w:ascii="Times New Roman" w:eastAsia="Calibri" w:hAnsi="Times New Roman" w:cs="Times New Roman"/>
      <w:sz w:val="20"/>
      <w:szCs w:val="20"/>
    </w:rPr>
  </w:style>
  <w:style w:type="paragraph" w:customStyle="1" w:styleId="berschrift31">
    <w:name w:val="Überschrift 31"/>
    <w:basedOn w:val="Standard"/>
    <w:uiPriority w:val="1"/>
    <w:qFormat/>
    <w:rsid w:val="00F81838"/>
    <w:pPr>
      <w:widowControl w:val="0"/>
      <w:spacing w:after="0" w:line="240" w:lineRule="auto"/>
      <w:ind w:left="1164" w:hanging="576"/>
      <w:jc w:val="left"/>
      <w:outlineLvl w:val="3"/>
    </w:pPr>
    <w:rPr>
      <w:rFonts w:eastAsia="Times New Roman" w:cs="Calibri"/>
      <w:b/>
      <w:bCs/>
      <w:szCs w:val="24"/>
      <w:lang w:val="en-US"/>
    </w:rPr>
  </w:style>
  <w:style w:type="paragraph" w:customStyle="1" w:styleId="TableParagraph">
    <w:name w:val="Table Paragraph"/>
    <w:basedOn w:val="Standard"/>
    <w:uiPriority w:val="1"/>
    <w:qFormat/>
    <w:rsid w:val="00F81838"/>
    <w:pPr>
      <w:widowControl w:val="0"/>
      <w:spacing w:after="0" w:line="240" w:lineRule="auto"/>
      <w:jc w:val="left"/>
    </w:pPr>
    <w:rPr>
      <w:rFonts w:ascii="Calibri" w:hAnsi="Calibri" w:cs="Calibri"/>
      <w:sz w:val="22"/>
      <w:lang w:val="en-US"/>
    </w:rPr>
  </w:style>
  <w:style w:type="table" w:styleId="Tabellenraster">
    <w:name w:val="Table Grid"/>
    <w:basedOn w:val="NormaleTabelle"/>
    <w:uiPriority w:val="59"/>
    <w:rsid w:val="00F81838"/>
    <w:pPr>
      <w:spacing w:after="0" w:line="240" w:lineRule="auto"/>
    </w:pPr>
    <w:rPr>
      <w:rFonts w:ascii="Calibri" w:eastAsia="Calibri"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41">
    <w:name w:val="Listentabelle 41"/>
    <w:basedOn w:val="NormaleTabelle"/>
    <w:uiPriority w:val="49"/>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tternetztabelle6farbig1">
    <w:name w:val="Gritternetztabelle 6 farbig1"/>
    <w:basedOn w:val="NormaleTabelle"/>
    <w:uiPriority w:val="51"/>
    <w:rsid w:val="00F81838"/>
    <w:pPr>
      <w:spacing w:after="0" w:line="240" w:lineRule="auto"/>
    </w:pPr>
    <w:rPr>
      <w:rFonts w:ascii="Calibri" w:eastAsia="Calibri" w:hAnsi="Calibri" w:cs="Times New Roman"/>
      <w:color w:val="000000"/>
      <w:sz w:val="20"/>
      <w:szCs w:val="20"/>
      <w:lang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tternetztabelle7farbig1">
    <w:name w:val="Gritternetztabelle 7 farbig1"/>
    <w:basedOn w:val="NormaleTabelle"/>
    <w:uiPriority w:val="52"/>
    <w:rsid w:val="00F81838"/>
    <w:pPr>
      <w:spacing w:after="0" w:line="240" w:lineRule="auto"/>
    </w:pPr>
    <w:rPr>
      <w:rFonts w:ascii="Calibri" w:eastAsia="Calibri" w:hAnsi="Calibri" w:cs="Times New Roman"/>
      <w:color w:val="000000"/>
      <w:sz w:val="20"/>
      <w:szCs w:val="20"/>
      <w:lang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000000"/>
        </w:tcBorders>
      </w:tcPr>
    </w:tblStylePr>
    <w:tblStylePr w:type="nwCell">
      <w:tblPr/>
      <w:tcPr>
        <w:tcBorders>
          <w:bottom w:val="single" w:sz="4" w:space="0" w:color="000000"/>
        </w:tcBorders>
      </w:tcPr>
    </w:tblStylePr>
    <w:tblStylePr w:type="seCell">
      <w:tblPr/>
      <w:tcPr>
        <w:tcBorders>
          <w:top w:val="single" w:sz="4" w:space="0" w:color="000000"/>
        </w:tcBorders>
      </w:tcPr>
    </w:tblStylePr>
    <w:tblStylePr w:type="swCell">
      <w:tblPr/>
      <w:tcPr>
        <w:tcBorders>
          <w:top w:val="single" w:sz="4" w:space="0" w:color="000000"/>
        </w:tcBorders>
      </w:tcPr>
    </w:tblStylePr>
  </w:style>
  <w:style w:type="table" w:customStyle="1" w:styleId="Gitternetztabelle21">
    <w:name w:val="Gitternetztabelle 21"/>
    <w:basedOn w:val="NormaleTabelle"/>
    <w:uiPriority w:val="47"/>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000000"/>
          <w:insideH w:val="nil"/>
          <w:insideV w:val="nil"/>
        </w:tcBorders>
        <w:shd w:val="clear" w:color="auto" w:fill="FFFFFF"/>
      </w:tcPr>
    </w:tblStylePr>
    <w:tblStylePr w:type="lastRow">
      <w:rPr>
        <w:b/>
        <w:bCs/>
      </w:rPr>
      <w:tblPr/>
      <w:tcPr>
        <w:tcBorders>
          <w:top w:val="double" w:sz="2" w:space="0" w:color="00000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7farbig1">
    <w:name w:val="Listentabelle 7 farbig1"/>
    <w:basedOn w:val="NormaleTabelle"/>
    <w:uiPriority w:val="52"/>
    <w:rsid w:val="00F81838"/>
    <w:pPr>
      <w:spacing w:after="0" w:line="240" w:lineRule="auto"/>
    </w:pPr>
    <w:rPr>
      <w:rFonts w:ascii="Calibri" w:eastAsia="Calibri" w:hAnsi="Calibri" w:cs="Times New Roman"/>
      <w:color w:val="000000"/>
      <w:sz w:val="20"/>
      <w:szCs w:val="20"/>
      <w:lang w:eastAsia="de-DE"/>
    </w:rPr>
    <w:tblPr>
      <w:tblStyleRowBandSize w:val="1"/>
      <w:tblStyleColBandSize w:val="1"/>
    </w:tblPr>
    <w:tblStylePr w:type="firstRow">
      <w:rPr>
        <w:rFonts w:ascii="MS ??" w:eastAsia="MS Gothic" w:hAnsi="MS ??" w:cs="MS ??"/>
        <w:i/>
        <w:sz w:val="26"/>
      </w:rPr>
      <w:tblPr/>
      <w:tcPr>
        <w:tcBorders>
          <w:bottom w:val="single" w:sz="4" w:space="0" w:color="000000"/>
        </w:tcBorders>
        <w:shd w:val="clear" w:color="auto" w:fill="FFFFFF"/>
      </w:tcPr>
    </w:tblStylePr>
    <w:tblStylePr w:type="lastRow">
      <w:rPr>
        <w:rFonts w:ascii="MS ??" w:eastAsia="MS Gothic" w:hAnsi="MS ??" w:cs="MS ??"/>
        <w:i/>
        <w:sz w:val="26"/>
      </w:rPr>
      <w:tblPr/>
      <w:tcPr>
        <w:tcBorders>
          <w:top w:val="single" w:sz="4" w:space="0" w:color="000000"/>
        </w:tcBorders>
        <w:shd w:val="clear" w:color="auto" w:fill="FFFFFF"/>
      </w:tcPr>
    </w:tblStylePr>
    <w:tblStylePr w:type="firstCol">
      <w:pPr>
        <w:jc w:val="right"/>
      </w:pPr>
      <w:rPr>
        <w:rFonts w:ascii="MS ??" w:eastAsia="MS Gothic" w:hAnsi="MS ??" w:cs="MS ??"/>
        <w:i/>
        <w:sz w:val="26"/>
      </w:rPr>
      <w:tblPr/>
      <w:tcPr>
        <w:tcBorders>
          <w:right w:val="single" w:sz="4" w:space="0" w:color="000000"/>
        </w:tcBorders>
        <w:shd w:val="clear" w:color="auto" w:fill="FFFFFF"/>
      </w:tcPr>
    </w:tblStylePr>
    <w:tblStylePr w:type="lastCol">
      <w:rPr>
        <w:rFonts w:ascii="MS ??" w:eastAsia="MS Gothic" w:hAnsi="MS ??" w:cs="MS ??"/>
        <w:i/>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41">
    <w:name w:val="Gitternetztabelle 41"/>
    <w:basedOn w:val="NormaleTabelle"/>
    <w:uiPriority w:val="49"/>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1">
    <w:name w:val="Listentabelle 21"/>
    <w:basedOn w:val="NormaleTabelle"/>
    <w:uiPriority w:val="47"/>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31">
    <w:name w:val="Gitternetztabelle 31"/>
    <w:basedOn w:val="NormaleTabelle"/>
    <w:uiPriority w:val="48"/>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000000"/>
        </w:tcBorders>
      </w:tcPr>
    </w:tblStylePr>
    <w:tblStylePr w:type="nwCell">
      <w:tblPr/>
      <w:tcPr>
        <w:tcBorders>
          <w:bottom w:val="single" w:sz="4" w:space="0" w:color="000000"/>
        </w:tcBorders>
      </w:tcPr>
    </w:tblStylePr>
    <w:tblStylePr w:type="seCell">
      <w:tblPr/>
      <w:tcPr>
        <w:tcBorders>
          <w:top w:val="single" w:sz="4" w:space="0" w:color="000000"/>
        </w:tcBorders>
      </w:tcPr>
    </w:tblStylePr>
    <w:tblStylePr w:type="swCell">
      <w:tblPr/>
      <w:tcPr>
        <w:tcBorders>
          <w:top w:val="single" w:sz="4" w:space="0" w:color="000000"/>
        </w:tcBorders>
      </w:tcPr>
    </w:tblStylePr>
  </w:style>
  <w:style w:type="table" w:customStyle="1" w:styleId="Listentabelle6farbig1">
    <w:name w:val="Listentabelle 6 farbig1"/>
    <w:basedOn w:val="NormaleTabelle"/>
    <w:uiPriority w:val="51"/>
    <w:rsid w:val="00F81838"/>
    <w:pPr>
      <w:spacing w:after="0" w:line="240" w:lineRule="auto"/>
    </w:pPr>
    <w:rPr>
      <w:rFonts w:ascii="Calibri" w:eastAsia="Calibri" w:hAnsi="Calibri" w:cs="Times New Roman"/>
      <w:color w:val="000000"/>
      <w:sz w:val="20"/>
      <w:szCs w:val="20"/>
      <w:lang w:eastAsia="de-D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1">
    <w:name w:val="Listentabelle 1 hell1"/>
    <w:basedOn w:val="NormaleTabelle"/>
    <w:uiPriority w:val="46"/>
    <w:rsid w:val="00F81838"/>
    <w:pPr>
      <w:spacing w:after="0" w:line="240" w:lineRule="auto"/>
    </w:pPr>
    <w:rPr>
      <w:rFonts w:ascii="Calibri" w:eastAsia="Calibri" w:hAnsi="Calibri" w:cs="Times New Roman"/>
      <w:sz w:val="20"/>
      <w:szCs w:val="20"/>
      <w:lang w:eastAsia="de-DE"/>
    </w:rPr>
    <w:tblPr>
      <w:tblStyleRowBandSize w:val="1"/>
      <w:tblStyleColBandSize w:val="1"/>
    </w:tblPr>
    <w:tblStylePr w:type="firstRow">
      <w:rPr>
        <w:b/>
        <w:bCs/>
      </w:rPr>
      <w:tblPr/>
      <w:tcPr>
        <w:tcBorders>
          <w:bottom w:val="single" w:sz="4" w:space="0" w:color="000000"/>
        </w:tcBorders>
      </w:tcPr>
    </w:tblStylePr>
    <w:tblStylePr w:type="lastRow">
      <w:rPr>
        <w:b/>
        <w:bCs/>
      </w:rPr>
      <w:tblPr/>
      <w:tcPr>
        <w:tcBorders>
          <w:top w:val="sing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EinfacheTabelle31">
    <w:name w:val="Einfache Tabelle 31"/>
    <w:basedOn w:val="NormaleTabelle"/>
    <w:uiPriority w:val="43"/>
    <w:rsid w:val="00F81838"/>
    <w:pPr>
      <w:spacing w:after="0" w:line="240" w:lineRule="auto"/>
    </w:pPr>
    <w:rPr>
      <w:rFonts w:ascii="Calibri" w:eastAsia="Calibri" w:hAnsi="Calibri" w:cs="Times New Roman"/>
      <w:sz w:val="20"/>
      <w:szCs w:val="20"/>
      <w:lang w:eastAsia="de-DE"/>
    </w:rPr>
    <w:tblPr>
      <w:tblStyleRowBandSize w:val="1"/>
      <w:tblStyleColBandSize w:val="1"/>
    </w:tblPr>
    <w:tblStylePr w:type="firstRow">
      <w:rPr>
        <w:b/>
        <w:bCs/>
        <w:caps/>
      </w:rPr>
      <w:tblPr/>
      <w:tcPr>
        <w:tcBorders>
          <w:bottom w:val="single" w:sz="4" w:space="0" w:color="000000"/>
        </w:tcBorders>
      </w:tcPr>
    </w:tblStylePr>
    <w:tblStylePr w:type="lastRow">
      <w:rPr>
        <w:b/>
        <w:bCs/>
        <w:caps/>
      </w:rPr>
      <w:tblPr/>
      <w:tcPr>
        <w:tcBorders>
          <w:top w:val="nil"/>
        </w:tcBorders>
      </w:tcPr>
    </w:tblStylePr>
    <w:tblStylePr w:type="firstCol">
      <w:rPr>
        <w:b/>
        <w:bCs/>
        <w:caps/>
      </w:rPr>
      <w:tblPr/>
      <w:tcPr>
        <w:tcBorders>
          <w:right w:val="single" w:sz="4" w:space="0" w:color="00000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11">
    <w:name w:val="Einfache Tabelle 11"/>
    <w:basedOn w:val="NormaleTabelle"/>
    <w:uiPriority w:val="41"/>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bCs/>
      </w:rPr>
    </w:tblStylePr>
    <w:tblStylePr w:type="lastRow">
      <w:rPr>
        <w:b/>
        <w:bCs/>
      </w:rPr>
      <w:tblPr/>
      <w:tcPr>
        <w:tcBorders>
          <w:top w:val="double" w:sz="4" w:space="0" w:color="FFFFF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uiPriority w:val="45"/>
    <w:rsid w:val="00F81838"/>
    <w:pPr>
      <w:spacing w:after="0" w:line="240" w:lineRule="auto"/>
    </w:pPr>
    <w:rPr>
      <w:rFonts w:ascii="Calibri" w:eastAsia="Calibri" w:hAnsi="Calibri" w:cs="Times New Roman"/>
      <w:sz w:val="20"/>
      <w:szCs w:val="20"/>
      <w:lang w:eastAsia="de-DE"/>
    </w:rPr>
    <w:tblPr>
      <w:tblStyleRowBandSize w:val="1"/>
      <w:tblStyleColBandSize w:val="1"/>
    </w:tblPr>
    <w:tblStylePr w:type="firstRow">
      <w:rPr>
        <w:rFonts w:ascii="MS ??" w:eastAsia="MS Gothic" w:hAnsi="MS ??" w:cs="MS ??"/>
        <w:i/>
        <w:sz w:val="26"/>
      </w:rPr>
      <w:tblPr/>
      <w:tcPr>
        <w:tcBorders>
          <w:bottom w:val="single" w:sz="4" w:space="0" w:color="000000"/>
        </w:tcBorders>
        <w:shd w:val="clear" w:color="auto" w:fill="FFFFFF"/>
      </w:tcPr>
    </w:tblStylePr>
    <w:tblStylePr w:type="lastRow">
      <w:rPr>
        <w:rFonts w:ascii="MS ??" w:eastAsia="MS Gothic" w:hAnsi="MS ??" w:cs="MS ??"/>
        <w:i/>
        <w:sz w:val="26"/>
      </w:rPr>
      <w:tblPr/>
      <w:tcPr>
        <w:tcBorders>
          <w:top w:val="single" w:sz="4" w:space="0" w:color="000000"/>
        </w:tcBorders>
        <w:shd w:val="clear" w:color="auto" w:fill="FFFFFF"/>
      </w:tcPr>
    </w:tblStylePr>
    <w:tblStylePr w:type="firstCol">
      <w:pPr>
        <w:jc w:val="right"/>
      </w:pPr>
      <w:rPr>
        <w:rFonts w:ascii="MS ??" w:eastAsia="MS Gothic" w:hAnsi="MS ??" w:cs="MS ??"/>
        <w:i/>
        <w:sz w:val="26"/>
      </w:rPr>
      <w:tblPr/>
      <w:tcPr>
        <w:tcBorders>
          <w:right w:val="single" w:sz="4" w:space="0" w:color="000000"/>
        </w:tcBorders>
        <w:shd w:val="clear" w:color="auto" w:fill="FFFFFF"/>
      </w:tcPr>
    </w:tblStylePr>
    <w:tblStylePr w:type="lastCol">
      <w:rPr>
        <w:rFonts w:ascii="MS ??" w:eastAsia="MS Gothic" w:hAnsi="MS ??" w:cs="MS ??"/>
        <w:i/>
        <w:sz w:val="26"/>
      </w:rPr>
      <w:tblPr/>
      <w:tcPr>
        <w:tcBorders>
          <w:left w:val="single" w:sz="4" w:space="0" w:color="00000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1">
    <w:name w:val="Table Normal1"/>
    <w:uiPriority w:val="2"/>
    <w:semiHidden/>
    <w:unhideWhenUsed/>
    <w:qFormat/>
    <w:rsid w:val="00F81838"/>
    <w:pPr>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table" w:customStyle="1" w:styleId="EinfacheTabelle52">
    <w:name w:val="Einfache Tabelle 52"/>
    <w:basedOn w:val="NormaleTabelle"/>
    <w:uiPriority w:val="45"/>
    <w:rsid w:val="00F81838"/>
    <w:pPr>
      <w:spacing w:after="0" w:line="240" w:lineRule="auto"/>
    </w:pPr>
    <w:rPr>
      <w:rFonts w:ascii="Calibri" w:eastAsia="Calibri" w:hAnsi="Calibri" w:cs="Times New Roman"/>
      <w:sz w:val="20"/>
      <w:szCs w:val="20"/>
      <w:lang w:eastAsia="de-DE"/>
    </w:rPr>
    <w:tblPr>
      <w:tblStyleRowBandSize w:val="1"/>
      <w:tblStyleColBandSize w:val="1"/>
    </w:tblPr>
    <w:tblStylePr w:type="firstRow">
      <w:rPr>
        <w:rFonts w:ascii="MS ??" w:eastAsia="MS Gothic" w:hAnsi="MS ??" w:cs="MS ??"/>
        <w:i/>
        <w:iCs/>
        <w:sz w:val="26"/>
      </w:rPr>
      <w:tblPr/>
      <w:tcPr>
        <w:tcBorders>
          <w:bottom w:val="single" w:sz="4" w:space="0" w:color="7F7F7F"/>
        </w:tcBorders>
        <w:shd w:val="clear" w:color="auto" w:fill="FFFFFF"/>
      </w:tcPr>
    </w:tblStylePr>
    <w:tblStylePr w:type="lastRow">
      <w:rPr>
        <w:rFonts w:ascii="MS ??" w:eastAsia="MS Gothic" w:hAnsi="MS ??" w:cs="MS ??"/>
        <w:i/>
        <w:iCs/>
        <w:sz w:val="26"/>
      </w:rPr>
      <w:tblPr/>
      <w:tcPr>
        <w:tcBorders>
          <w:top w:val="single" w:sz="4" w:space="0" w:color="7F7F7F"/>
        </w:tcBorders>
        <w:shd w:val="clear" w:color="auto" w:fill="FFFFFF"/>
      </w:tcPr>
    </w:tblStylePr>
    <w:tblStylePr w:type="firstCol">
      <w:pPr>
        <w:jc w:val="right"/>
      </w:pPr>
      <w:rPr>
        <w:rFonts w:ascii="MS ??" w:eastAsia="MS Gothic" w:hAnsi="MS ??" w:cs="MS ??"/>
        <w:i/>
        <w:iCs/>
        <w:sz w:val="26"/>
      </w:rPr>
      <w:tblPr/>
      <w:tcPr>
        <w:tcBorders>
          <w:right w:val="single" w:sz="4" w:space="0" w:color="7F7F7F"/>
        </w:tcBorders>
        <w:shd w:val="clear" w:color="auto" w:fill="FFFFFF"/>
      </w:tcPr>
    </w:tblStylePr>
    <w:tblStylePr w:type="lastCol">
      <w:rPr>
        <w:rFonts w:ascii="MS ??" w:eastAsia="MS Gothic" w:hAnsi="MS ??" w:cs="MS ??"/>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emithellemGitternetz1">
    <w:name w:val="Tabelle mit hellem Gitternetz1"/>
    <w:basedOn w:val="NormaleTabelle"/>
    <w:uiPriority w:val="40"/>
    <w:rsid w:val="00F81838"/>
    <w:pPr>
      <w:spacing w:after="0" w:line="240" w:lineRule="auto"/>
    </w:pPr>
    <w:rPr>
      <w:rFonts w:ascii="Calibri" w:eastAsia="Calibri" w:hAnsi="Calibri" w:cs="Times New Roman"/>
      <w:sz w:val="20"/>
      <w:szCs w:val="20"/>
      <w:lang w:eastAsia="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entabelle42">
    <w:name w:val="Listentabelle 42"/>
    <w:basedOn w:val="NormaleTabelle"/>
    <w:uiPriority w:val="49"/>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2">
    <w:name w:val="Listentabelle 22"/>
    <w:basedOn w:val="NormaleTabelle"/>
    <w:uiPriority w:val="47"/>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2">
    <w:name w:val="Gitternetztabelle 42"/>
    <w:basedOn w:val="NormaleTabelle"/>
    <w:uiPriority w:val="49"/>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tternetztabelle7farbig2">
    <w:name w:val="Gritternetztabelle 7 farbig2"/>
    <w:basedOn w:val="NormaleTabelle"/>
    <w:uiPriority w:val="52"/>
    <w:rsid w:val="00F81838"/>
    <w:pPr>
      <w:spacing w:after="0" w:line="240" w:lineRule="auto"/>
    </w:pPr>
    <w:rPr>
      <w:rFonts w:ascii="Calibri" w:eastAsia="Calibri" w:hAnsi="Calibri" w:cs="Times New Roman"/>
      <w:color w:val="000000"/>
      <w:sz w:val="20"/>
      <w:szCs w:val="20"/>
      <w:lang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2">
    <w:name w:val="Gitternetztabelle 32"/>
    <w:basedOn w:val="NormaleTabelle"/>
    <w:uiPriority w:val="48"/>
    <w:rsid w:val="00F81838"/>
    <w:pPr>
      <w:spacing w:after="0" w:line="240" w:lineRule="auto"/>
    </w:pPr>
    <w:rPr>
      <w:rFonts w:ascii="Calibri" w:eastAsia="Calibri" w:hAnsi="Calibri" w:cs="Times New Roman"/>
      <w:sz w:val="20"/>
      <w:szCs w:val="20"/>
      <w:lang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EinfacheTabelle32">
    <w:name w:val="Einfache Tabelle 32"/>
    <w:basedOn w:val="NormaleTabelle"/>
    <w:uiPriority w:val="43"/>
    <w:rsid w:val="00F81838"/>
    <w:pPr>
      <w:spacing w:after="0" w:line="240" w:lineRule="auto"/>
    </w:pPr>
    <w:rPr>
      <w:rFonts w:ascii="Calibri" w:eastAsia="Calibri" w:hAnsi="Calibri" w:cs="Times New Roman"/>
      <w:sz w:val="20"/>
      <w:szCs w:val="20"/>
      <w:lang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xl65">
    <w:name w:val="xl65"/>
    <w:basedOn w:val="Standard"/>
    <w:rsid w:val="00F81838"/>
    <w:pPr>
      <w:spacing w:before="100" w:beforeAutospacing="1" w:after="100" w:afterAutospacing="1" w:line="240" w:lineRule="auto"/>
      <w:jc w:val="left"/>
    </w:pPr>
    <w:rPr>
      <w:rFonts w:eastAsia="Times New Roman"/>
      <w:sz w:val="18"/>
      <w:szCs w:val="18"/>
      <w:lang w:val="en-US"/>
    </w:rPr>
  </w:style>
  <w:style w:type="paragraph" w:customStyle="1" w:styleId="xl66">
    <w:name w:val="xl66"/>
    <w:basedOn w:val="Standard"/>
    <w:rsid w:val="00F81838"/>
    <w:pPr>
      <w:spacing w:before="100" w:beforeAutospacing="1" w:after="100" w:afterAutospacing="1" w:line="240" w:lineRule="auto"/>
      <w:jc w:val="left"/>
    </w:pPr>
    <w:rPr>
      <w:rFonts w:eastAsia="Times New Roman"/>
      <w:b/>
      <w:bCs/>
      <w:sz w:val="18"/>
      <w:szCs w:val="18"/>
      <w:lang w:val="en-US"/>
    </w:rPr>
  </w:style>
  <w:style w:type="paragraph" w:customStyle="1" w:styleId="xl67">
    <w:name w:val="xl67"/>
    <w:basedOn w:val="Standard"/>
    <w:rsid w:val="00F81838"/>
    <w:pPr>
      <w:spacing w:before="100" w:beforeAutospacing="1" w:after="100" w:afterAutospacing="1" w:line="240" w:lineRule="auto"/>
      <w:jc w:val="left"/>
    </w:pPr>
    <w:rPr>
      <w:rFonts w:eastAsia="Times New Roman"/>
      <w:sz w:val="18"/>
      <w:szCs w:val="18"/>
      <w:lang w:val="en-US"/>
    </w:rPr>
  </w:style>
  <w:style w:type="paragraph" w:customStyle="1" w:styleId="xl68">
    <w:name w:val="xl68"/>
    <w:basedOn w:val="Standard"/>
    <w:rsid w:val="00F81838"/>
    <w:pPr>
      <w:spacing w:before="100" w:beforeAutospacing="1" w:after="100" w:afterAutospacing="1" w:line="240" w:lineRule="auto"/>
      <w:jc w:val="left"/>
    </w:pPr>
    <w:rPr>
      <w:rFonts w:eastAsia="Times New Roman"/>
      <w:sz w:val="18"/>
      <w:szCs w:val="18"/>
      <w:lang w:val="en-US"/>
    </w:rPr>
  </w:style>
  <w:style w:type="paragraph" w:customStyle="1" w:styleId="xl69">
    <w:name w:val="xl69"/>
    <w:basedOn w:val="Standard"/>
    <w:rsid w:val="00F81838"/>
    <w:pPr>
      <w:spacing w:before="100" w:beforeAutospacing="1" w:after="100" w:afterAutospacing="1" w:line="240" w:lineRule="auto"/>
      <w:jc w:val="left"/>
    </w:pPr>
    <w:rPr>
      <w:rFonts w:eastAsia="Times New Roman"/>
      <w:color w:val="0000FF"/>
      <w:sz w:val="18"/>
      <w:szCs w:val="18"/>
      <w:u w:val="single"/>
      <w:lang w:val="en-US"/>
    </w:rPr>
  </w:style>
  <w:style w:type="paragraph" w:styleId="berarbeitung">
    <w:name w:val="Revision"/>
    <w:hidden/>
    <w:uiPriority w:val="99"/>
    <w:semiHidden/>
    <w:rsid w:val="00F81838"/>
    <w:pPr>
      <w:spacing w:after="0" w:line="240" w:lineRule="auto"/>
    </w:pPr>
    <w:rPr>
      <w:rFonts w:ascii="Times New Roman" w:eastAsia="Calibri" w:hAnsi="Times New Roman" w:cs="Times New Roman"/>
      <w:sz w:val="24"/>
    </w:rPr>
  </w:style>
  <w:style w:type="paragraph" w:styleId="StandardWeb">
    <w:name w:val="Normal (Web)"/>
    <w:basedOn w:val="Standard"/>
    <w:uiPriority w:val="99"/>
    <w:semiHidden/>
    <w:unhideWhenUsed/>
    <w:rsid w:val="00BD4582"/>
    <w:pPr>
      <w:spacing w:before="100" w:beforeAutospacing="1" w:after="100" w:afterAutospacing="1" w:line="240" w:lineRule="auto"/>
      <w:jc w:val="left"/>
    </w:pPr>
    <w:rPr>
      <w:rFonts w:eastAsia="Times New Roman"/>
      <w:szCs w:val="24"/>
      <w:lang w:eastAsia="de-DE"/>
    </w:rPr>
  </w:style>
  <w:style w:type="character" w:styleId="Zeilennummer">
    <w:name w:val="line number"/>
    <w:basedOn w:val="Absatz-Standardschriftart"/>
    <w:uiPriority w:val="99"/>
    <w:semiHidden/>
    <w:unhideWhenUsed/>
    <w:rsid w:val="00ED62BE"/>
  </w:style>
  <w:style w:type="character" w:styleId="Hervorhebung">
    <w:name w:val="Emphasis"/>
    <w:basedOn w:val="Absatz-Standardschriftart"/>
    <w:uiPriority w:val="20"/>
    <w:qFormat/>
    <w:rsid w:val="00AD6F3D"/>
    <w:rPr>
      <w:i/>
      <w:iCs/>
    </w:rPr>
  </w:style>
  <w:style w:type="character" w:customStyle="1" w:styleId="copy-text">
    <w:name w:val="copy-text"/>
    <w:basedOn w:val="Absatz-Standardschriftart"/>
    <w:rsid w:val="00AD6F3D"/>
  </w:style>
  <w:style w:type="character" w:customStyle="1" w:styleId="author-icon">
    <w:name w:val="author-icon"/>
    <w:basedOn w:val="Absatz-Standardschriftart"/>
    <w:rsid w:val="00FB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4552">
      <w:bodyDiv w:val="1"/>
      <w:marLeft w:val="0"/>
      <w:marRight w:val="0"/>
      <w:marTop w:val="0"/>
      <w:marBottom w:val="0"/>
      <w:divBdr>
        <w:top w:val="none" w:sz="0" w:space="0" w:color="auto"/>
        <w:left w:val="none" w:sz="0" w:space="0" w:color="auto"/>
        <w:bottom w:val="none" w:sz="0" w:space="0" w:color="auto"/>
        <w:right w:val="none" w:sz="0" w:space="0" w:color="auto"/>
      </w:divBdr>
    </w:div>
    <w:div w:id="688144021">
      <w:bodyDiv w:val="1"/>
      <w:marLeft w:val="0"/>
      <w:marRight w:val="0"/>
      <w:marTop w:val="0"/>
      <w:marBottom w:val="0"/>
      <w:divBdr>
        <w:top w:val="none" w:sz="0" w:space="0" w:color="auto"/>
        <w:left w:val="none" w:sz="0" w:space="0" w:color="auto"/>
        <w:bottom w:val="none" w:sz="0" w:space="0" w:color="auto"/>
        <w:right w:val="none" w:sz="0" w:space="0" w:color="auto"/>
      </w:divBdr>
      <w:divsChild>
        <w:div w:id="1554197585">
          <w:marLeft w:val="0"/>
          <w:marRight w:val="0"/>
          <w:marTop w:val="0"/>
          <w:marBottom w:val="0"/>
          <w:divBdr>
            <w:top w:val="none" w:sz="0" w:space="0" w:color="auto"/>
            <w:left w:val="none" w:sz="0" w:space="0" w:color="auto"/>
            <w:bottom w:val="none" w:sz="0" w:space="0" w:color="auto"/>
            <w:right w:val="none" w:sz="0" w:space="0" w:color="auto"/>
          </w:divBdr>
        </w:div>
      </w:divsChild>
    </w:div>
    <w:div w:id="1202018020">
      <w:bodyDiv w:val="1"/>
      <w:marLeft w:val="0"/>
      <w:marRight w:val="0"/>
      <w:marTop w:val="0"/>
      <w:marBottom w:val="0"/>
      <w:divBdr>
        <w:top w:val="none" w:sz="0" w:space="0" w:color="auto"/>
        <w:left w:val="none" w:sz="0" w:space="0" w:color="auto"/>
        <w:bottom w:val="none" w:sz="0" w:space="0" w:color="auto"/>
        <w:right w:val="none" w:sz="0" w:space="0" w:color="auto"/>
      </w:divBdr>
    </w:div>
    <w:div w:id="1451045702">
      <w:bodyDiv w:val="1"/>
      <w:marLeft w:val="0"/>
      <w:marRight w:val="0"/>
      <w:marTop w:val="0"/>
      <w:marBottom w:val="0"/>
      <w:divBdr>
        <w:top w:val="none" w:sz="0" w:space="0" w:color="auto"/>
        <w:left w:val="none" w:sz="0" w:space="0" w:color="auto"/>
        <w:bottom w:val="none" w:sz="0" w:space="0" w:color="auto"/>
        <w:right w:val="none" w:sz="0" w:space="0" w:color="auto"/>
      </w:divBdr>
    </w:div>
    <w:div w:id="19318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2007-BDA2-4A7C-BE05-843493B1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3416</Words>
  <Characters>21526</Characters>
  <Application>Microsoft Office Word</Application>
  <DocSecurity>0</DocSecurity>
  <Lines>179</Lines>
  <Paragraphs>49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European Commission</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weissmn</dc:creator>
  <cp:lastModifiedBy>Dr. Stefan Bagusche</cp:lastModifiedBy>
  <cp:revision>2</cp:revision>
  <cp:lastPrinted>2018-03-31T21:01:00Z</cp:lastPrinted>
  <dcterms:created xsi:type="dcterms:W3CDTF">2022-09-06T10:06:00Z</dcterms:created>
  <dcterms:modified xsi:type="dcterms:W3CDTF">2022-09-06T10:06:00Z</dcterms:modified>
</cp:coreProperties>
</file>